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356598" w:rsidP="00BF2165">
      <w:pPr>
        <w:jc w:val="center"/>
        <w:rPr>
          <w:rFonts w:ascii="Arial" w:hAnsi="Arial" w:cs="Arial"/>
          <w:b/>
          <w:sz w:val="20"/>
          <w:szCs w:val="20"/>
        </w:rPr>
      </w:pPr>
      <w:r>
        <w:rPr>
          <w:rFonts w:ascii="Arial" w:hAnsi="Arial" w:cs="Arial"/>
          <w:b/>
          <w:sz w:val="20"/>
          <w:szCs w:val="20"/>
        </w:rPr>
        <w:t>Certificate Course on MSME</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356598" w:rsidP="00155008">
            <w:pPr>
              <w:spacing w:line="240" w:lineRule="auto"/>
              <w:jc w:val="both"/>
              <w:rPr>
                <w:rFonts w:ascii="Calibri" w:hAnsi="Calibri" w:cs="Calibri"/>
                <w:color w:val="000000"/>
                <w:sz w:val="20"/>
                <w:szCs w:val="20"/>
              </w:rPr>
            </w:pPr>
            <w:r>
              <w:rPr>
                <w:rFonts w:ascii="Calibri" w:hAnsi="Calibri" w:cs="Calibri"/>
                <w:color w:val="000000"/>
                <w:sz w:val="20"/>
                <w:szCs w:val="20"/>
              </w:rPr>
              <w:t>Reserve Bank - Integrated Ombudsman Scheme, 2021 (RBIOS, 2021)</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D33E5B" w:rsidP="00155008">
            <w:pPr>
              <w:spacing w:line="240" w:lineRule="auto"/>
              <w:jc w:val="both"/>
              <w:rPr>
                <w:rFonts w:ascii="Calibri" w:hAnsi="Calibri" w:cs="Calibri"/>
                <w:color w:val="000000"/>
                <w:sz w:val="20"/>
                <w:szCs w:val="20"/>
              </w:rPr>
            </w:pPr>
            <w:r>
              <w:rPr>
                <w:rFonts w:ascii="Calibri" w:hAnsi="Calibri" w:cs="Calibri"/>
                <w:color w:val="000000"/>
                <w:sz w:val="20"/>
                <w:szCs w:val="20"/>
              </w:rPr>
              <w:t>Guidelines on Digital Lending</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D33E5B" w:rsidP="00155008">
            <w:pPr>
              <w:spacing w:line="240" w:lineRule="auto"/>
              <w:jc w:val="both"/>
              <w:rPr>
                <w:rFonts w:ascii="Calibri" w:hAnsi="Calibri" w:cs="Calibri"/>
                <w:color w:val="000000"/>
                <w:sz w:val="20"/>
                <w:szCs w:val="20"/>
              </w:rPr>
            </w:pPr>
            <w:r>
              <w:rPr>
                <w:rFonts w:ascii="Calibri" w:hAnsi="Calibri" w:cs="Calibri"/>
                <w:color w:val="000000"/>
                <w:sz w:val="20"/>
                <w:szCs w:val="20"/>
              </w:rPr>
              <w:t>Review of Prudential Norms – Risk Weights for Exposures guaranteed by Credit Guarantee Schemes (CGS)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D33E5B" w:rsidP="00155008">
            <w:pPr>
              <w:spacing w:line="240" w:lineRule="auto"/>
              <w:jc w:val="both"/>
              <w:rPr>
                <w:rFonts w:ascii="Calibri" w:hAnsi="Calibri" w:cs="Calibri"/>
                <w:color w:val="000000"/>
                <w:sz w:val="20"/>
                <w:szCs w:val="20"/>
              </w:rPr>
            </w:pPr>
            <w:r>
              <w:rPr>
                <w:rFonts w:ascii="Calibri" w:hAnsi="Calibri" w:cs="Calibri"/>
                <w:color w:val="000000"/>
                <w:sz w:val="20"/>
                <w:szCs w:val="20"/>
              </w:rPr>
              <w:t>Review of Prudential Norms – Risk Weights for Exposures to Corporates and NBFCs</w:t>
            </w:r>
          </w:p>
        </w:tc>
      </w:tr>
      <w:tr w:rsidR="00494F1F" w:rsidRPr="006C5648" w:rsidTr="00066AD4">
        <w:tc>
          <w:tcPr>
            <w:tcW w:w="846" w:type="dxa"/>
            <w:tcBorders>
              <w:top w:val="single" w:sz="4" w:space="0" w:color="auto"/>
              <w:left w:val="single" w:sz="4" w:space="0" w:color="auto"/>
              <w:bottom w:val="single" w:sz="4" w:space="0" w:color="auto"/>
              <w:right w:val="single" w:sz="4" w:space="0" w:color="auto"/>
            </w:tcBorders>
          </w:tcPr>
          <w:p w:rsidR="00494F1F" w:rsidRPr="006C5648" w:rsidRDefault="00494F1F" w:rsidP="00494F1F">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494F1F" w:rsidRPr="00D33E5B" w:rsidRDefault="00D33E5B" w:rsidP="00494F1F">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(Financial Statements - Presentation and Disclosures) Directions, 2021 - Disclosure of Divergence in Asset Classification and Provisioning</w:t>
            </w:r>
          </w:p>
        </w:tc>
      </w:tr>
      <w:tr w:rsidR="00494F1F" w:rsidRPr="006C5648" w:rsidTr="00BF2165">
        <w:tc>
          <w:tcPr>
            <w:tcW w:w="846" w:type="dxa"/>
            <w:tcBorders>
              <w:top w:val="single" w:sz="4" w:space="0" w:color="auto"/>
              <w:left w:val="single" w:sz="4" w:space="0" w:color="auto"/>
              <w:bottom w:val="single" w:sz="4" w:space="0" w:color="auto"/>
              <w:right w:val="single" w:sz="4" w:space="0" w:color="auto"/>
            </w:tcBorders>
          </w:tcPr>
          <w:p w:rsidR="00494F1F" w:rsidRPr="006C5648" w:rsidRDefault="00494F1F" w:rsidP="00494F1F">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494F1F" w:rsidRPr="00494F1F" w:rsidRDefault="00D33E5B" w:rsidP="00494F1F">
            <w:pPr>
              <w:spacing w:line="240" w:lineRule="auto"/>
              <w:jc w:val="both"/>
              <w:rPr>
                <w:rFonts w:ascii="Calibri" w:hAnsi="Calibri" w:cs="Calibri"/>
                <w:color w:val="000000"/>
                <w:sz w:val="20"/>
                <w:szCs w:val="20"/>
              </w:rPr>
            </w:pPr>
            <w:r>
              <w:rPr>
                <w:rFonts w:ascii="Calibri" w:hAnsi="Calibri" w:cs="Calibri"/>
                <w:color w:val="000000"/>
                <w:sz w:val="20"/>
                <w:szCs w:val="20"/>
              </w:rPr>
              <w:t xml:space="preserve">Modified Interest Subvention Scheme for Short Term Loans for Agriculture and Allied Activities availed through </w:t>
            </w:r>
            <w:proofErr w:type="spellStart"/>
            <w:r>
              <w:rPr>
                <w:rFonts w:ascii="Calibri" w:hAnsi="Calibri" w:cs="Calibri"/>
                <w:color w:val="000000"/>
                <w:sz w:val="20"/>
                <w:szCs w:val="20"/>
              </w:rPr>
              <w:t>Kisan</w:t>
            </w:r>
            <w:proofErr w:type="spellEnd"/>
            <w:r>
              <w:rPr>
                <w:rFonts w:ascii="Calibri" w:hAnsi="Calibri" w:cs="Calibri"/>
                <w:color w:val="000000"/>
                <w:sz w:val="20"/>
                <w:szCs w:val="20"/>
              </w:rPr>
              <w:t xml:space="preserve"> Credit Card (KCC) during the financial years 2022-23 and 2023-24</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D33E5B" w:rsidP="00155008">
            <w:pPr>
              <w:spacing w:line="240" w:lineRule="auto"/>
              <w:jc w:val="both"/>
              <w:rPr>
                <w:rFonts w:ascii="Calibri" w:hAnsi="Calibri" w:cs="Calibri"/>
                <w:color w:val="000000"/>
                <w:sz w:val="20"/>
                <w:szCs w:val="20"/>
              </w:rPr>
            </w:pPr>
            <w:r>
              <w:rPr>
                <w:rFonts w:ascii="Calibri" w:hAnsi="Calibri" w:cs="Calibri"/>
                <w:color w:val="000000"/>
                <w:sz w:val="20"/>
                <w:szCs w:val="20"/>
              </w:rPr>
              <w:t>Inclusion of Goods and Service Tax Network (GSTN) as a Financial Information Provider under Account Aggregator Framework</w:t>
            </w:r>
          </w:p>
        </w:tc>
      </w:tr>
      <w:tr w:rsidR="00494F1F" w:rsidRPr="006C5648" w:rsidTr="00BF2165">
        <w:tc>
          <w:tcPr>
            <w:tcW w:w="846" w:type="dxa"/>
            <w:tcBorders>
              <w:top w:val="single" w:sz="4" w:space="0" w:color="auto"/>
              <w:left w:val="single" w:sz="4" w:space="0" w:color="auto"/>
              <w:bottom w:val="single" w:sz="4" w:space="0" w:color="auto"/>
              <w:right w:val="single" w:sz="4" w:space="0" w:color="auto"/>
            </w:tcBorders>
          </w:tcPr>
          <w:p w:rsidR="00494F1F" w:rsidRPr="006C5648" w:rsidRDefault="00494F1F" w:rsidP="00494F1F">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494F1F" w:rsidRPr="00494F1F" w:rsidRDefault="00D33E5B" w:rsidP="00494F1F">
            <w:pPr>
              <w:spacing w:line="240" w:lineRule="auto"/>
              <w:jc w:val="both"/>
              <w:rPr>
                <w:rFonts w:ascii="Calibri" w:hAnsi="Calibri" w:cs="Calibri"/>
                <w:color w:val="000000"/>
                <w:sz w:val="20"/>
                <w:szCs w:val="20"/>
              </w:rPr>
            </w:pPr>
            <w:r>
              <w:rPr>
                <w:rFonts w:ascii="Calibri" w:hAnsi="Calibri" w:cs="Calibri"/>
                <w:color w:val="000000"/>
                <w:sz w:val="20"/>
                <w:szCs w:val="20"/>
              </w:rPr>
              <w:t>Data Format for Furnishing of Credit Information to Credit Information Companies and other Regulatory Measures</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E65289" w:rsidRDefault="00E65289">
      <w:pPr>
        <w:spacing w:line="259" w:lineRule="auto"/>
        <w:rPr>
          <w:rFonts w:ascii="Arial" w:hAnsi="Arial" w:cs="Arial"/>
          <w:sz w:val="20"/>
          <w:szCs w:val="20"/>
        </w:rPr>
      </w:pPr>
    </w:p>
    <w:p w:rsidR="00D33E5B" w:rsidRDefault="00D33E5B" w:rsidP="00356598">
      <w:pPr>
        <w:spacing w:line="259" w:lineRule="auto"/>
        <w:rPr>
          <w:rFonts w:ascii="Arial" w:hAnsi="Arial" w:cs="Arial"/>
          <w:b/>
          <w:bCs/>
          <w:color w:val="000000"/>
          <w:sz w:val="20"/>
          <w:szCs w:val="20"/>
        </w:rPr>
      </w:pPr>
    </w:p>
    <w:p w:rsidR="00D33E5B" w:rsidRDefault="00D33E5B" w:rsidP="00356598">
      <w:pPr>
        <w:spacing w:line="259" w:lineRule="auto"/>
        <w:rPr>
          <w:rFonts w:ascii="Arial" w:hAnsi="Arial" w:cs="Arial"/>
          <w:b/>
          <w:bCs/>
          <w:color w:val="000000"/>
          <w:sz w:val="20"/>
          <w:szCs w:val="20"/>
        </w:rPr>
      </w:pPr>
    </w:p>
    <w:p w:rsidR="00D33E5B" w:rsidRDefault="00D33E5B" w:rsidP="00356598">
      <w:pPr>
        <w:spacing w:line="259" w:lineRule="auto"/>
        <w:rPr>
          <w:rFonts w:ascii="Arial" w:hAnsi="Arial" w:cs="Arial"/>
          <w:b/>
          <w:bCs/>
          <w:color w:val="000000"/>
          <w:sz w:val="20"/>
          <w:szCs w:val="20"/>
        </w:rPr>
      </w:pPr>
    </w:p>
    <w:p w:rsidR="008014DB" w:rsidRDefault="008014DB" w:rsidP="00356598">
      <w:pPr>
        <w:spacing w:line="259" w:lineRule="auto"/>
        <w:rPr>
          <w:rFonts w:ascii="Arial" w:hAnsi="Arial" w:cs="Arial"/>
          <w:b/>
          <w:bCs/>
          <w:color w:val="000000"/>
          <w:sz w:val="20"/>
          <w:szCs w:val="20"/>
        </w:rPr>
      </w:pPr>
    </w:p>
    <w:p w:rsidR="008014DB" w:rsidRDefault="008014DB" w:rsidP="00356598">
      <w:pPr>
        <w:spacing w:line="259" w:lineRule="auto"/>
        <w:rPr>
          <w:rFonts w:ascii="Arial" w:hAnsi="Arial" w:cs="Arial"/>
          <w:b/>
          <w:bCs/>
          <w:color w:val="000000"/>
          <w:sz w:val="20"/>
          <w:szCs w:val="20"/>
        </w:rPr>
      </w:pPr>
    </w:p>
    <w:p w:rsidR="00356598" w:rsidRDefault="00356598" w:rsidP="00213882">
      <w:pPr>
        <w:spacing w:after="0"/>
        <w:jc w:val="both"/>
        <w:rPr>
          <w:rFonts w:ascii="Arial" w:hAnsi="Arial" w:cs="Arial"/>
          <w:b/>
          <w:bCs/>
          <w:color w:val="000000"/>
          <w:sz w:val="20"/>
          <w:szCs w:val="20"/>
        </w:rPr>
      </w:pPr>
    </w:p>
    <w:p w:rsidR="00356598" w:rsidRDefault="00356598" w:rsidP="00356598">
      <w:pPr>
        <w:pStyle w:val="NormalWeb"/>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356598" w:rsidRDefault="00356598" w:rsidP="00356598">
      <w:pPr>
        <w:pStyle w:val="head"/>
        <w:rPr>
          <w:rFonts w:ascii="Arial" w:hAnsi="Arial" w:cs="Arial"/>
          <w:b/>
          <w:bCs/>
          <w:color w:val="000000"/>
          <w:sz w:val="20"/>
          <w:szCs w:val="20"/>
        </w:rPr>
      </w:pPr>
      <w:r>
        <w:rPr>
          <w:rFonts w:ascii="Arial" w:hAnsi="Arial" w:cs="Arial"/>
          <w:b/>
          <w:bCs/>
          <w:color w:val="000000"/>
          <w:sz w:val="20"/>
          <w:szCs w:val="20"/>
        </w:rPr>
        <w:t>EXECUTIVE DIRECTOR</w:t>
      </w:r>
    </w:p>
    <w:p w:rsidR="00356598" w:rsidRDefault="00356598" w:rsidP="00356598">
      <w:pPr>
        <w:pStyle w:val="head"/>
        <w:rPr>
          <w:rFonts w:ascii="Arial" w:hAnsi="Arial" w:cs="Arial"/>
          <w:b/>
          <w:bCs/>
          <w:color w:val="000000"/>
          <w:sz w:val="20"/>
          <w:szCs w:val="20"/>
        </w:rPr>
      </w:pPr>
      <w:r>
        <w:rPr>
          <w:rFonts w:ascii="Arial" w:hAnsi="Arial" w:cs="Arial"/>
          <w:b/>
          <w:bCs/>
          <w:color w:val="000000"/>
          <w:sz w:val="20"/>
          <w:szCs w:val="20"/>
        </w:rPr>
        <w:t>Reserve Bank of India</w:t>
      </w:r>
      <w:r>
        <w:rPr>
          <w:rFonts w:ascii="Arial" w:hAnsi="Arial" w:cs="Arial"/>
          <w:b/>
          <w:bCs/>
          <w:color w:val="000000"/>
          <w:sz w:val="20"/>
          <w:szCs w:val="20"/>
        </w:rPr>
        <w:br/>
        <w:t>Mumbai</w:t>
      </w:r>
    </w:p>
    <w:p w:rsidR="00356598" w:rsidRDefault="00356598" w:rsidP="00356598">
      <w:pPr>
        <w:pStyle w:val="head"/>
        <w:jc w:val="center"/>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356598" w:rsidRDefault="00356598" w:rsidP="00356598">
      <w:pPr>
        <w:pStyle w:val="head"/>
        <w:jc w:val="center"/>
        <w:rPr>
          <w:rFonts w:ascii="Arial" w:hAnsi="Arial" w:cs="Arial"/>
          <w:b/>
          <w:bCs/>
          <w:color w:val="000000"/>
          <w:sz w:val="20"/>
          <w:szCs w:val="20"/>
        </w:rPr>
      </w:pPr>
      <w:r>
        <w:rPr>
          <w:rFonts w:ascii="Arial" w:hAnsi="Arial" w:cs="Arial"/>
          <w:b/>
          <w:bCs/>
          <w:color w:val="000000"/>
          <w:sz w:val="20"/>
          <w:szCs w:val="20"/>
          <w:u w:val="single"/>
        </w:rPr>
        <w:t>NOTIFICATION</w:t>
      </w:r>
    </w:p>
    <w:p w:rsidR="00356598" w:rsidRDefault="00356598" w:rsidP="00356598">
      <w:pPr>
        <w:pStyle w:val="NormalWeb"/>
        <w:rPr>
          <w:rFonts w:ascii="Arial" w:hAnsi="Arial" w:cs="Arial"/>
          <w:color w:val="000000"/>
          <w:sz w:val="20"/>
          <w:szCs w:val="20"/>
        </w:rPr>
      </w:pPr>
      <w:proofErr w:type="gramStart"/>
      <w:r>
        <w:rPr>
          <w:rFonts w:ascii="Arial" w:hAnsi="Arial" w:cs="Arial"/>
          <w:color w:val="000000"/>
          <w:sz w:val="20"/>
          <w:szCs w:val="20"/>
        </w:rPr>
        <w:t>Ref.CEPD.PRD.No.S</w:t>
      </w:r>
      <w:proofErr w:type="gramEnd"/>
      <w:r>
        <w:rPr>
          <w:rFonts w:ascii="Arial" w:hAnsi="Arial" w:cs="Arial"/>
          <w:color w:val="000000"/>
          <w:sz w:val="20"/>
          <w:szCs w:val="20"/>
        </w:rPr>
        <w:t>544/13.01.001/2022-23</w:t>
      </w:r>
    </w:p>
    <w:p w:rsidR="00356598" w:rsidRDefault="00356598" w:rsidP="00356598">
      <w:pPr>
        <w:pStyle w:val="NormalWeb"/>
        <w:jc w:val="right"/>
        <w:rPr>
          <w:rFonts w:ascii="Arial" w:hAnsi="Arial" w:cs="Arial"/>
          <w:color w:val="000000"/>
          <w:sz w:val="20"/>
          <w:szCs w:val="20"/>
        </w:rPr>
      </w:pPr>
      <w:r>
        <w:rPr>
          <w:rFonts w:ascii="Arial" w:hAnsi="Arial" w:cs="Arial"/>
          <w:color w:val="000000"/>
          <w:sz w:val="20"/>
          <w:szCs w:val="20"/>
        </w:rPr>
        <w:t>August 5, 2022</w:t>
      </w:r>
    </w:p>
    <w:p w:rsidR="00356598" w:rsidRDefault="00356598" w:rsidP="00356598">
      <w:pPr>
        <w:pStyle w:val="NormalWeb"/>
        <w:rPr>
          <w:rFonts w:ascii="Arial" w:hAnsi="Arial" w:cs="Arial"/>
          <w:color w:val="000000"/>
          <w:sz w:val="20"/>
          <w:szCs w:val="20"/>
        </w:rPr>
      </w:pPr>
      <w:r>
        <w:rPr>
          <w:rFonts w:ascii="Arial" w:hAnsi="Arial" w:cs="Arial"/>
          <w:color w:val="000000"/>
          <w:sz w:val="20"/>
          <w:szCs w:val="20"/>
        </w:rPr>
        <w:t>In exercise of the powers conferred by sub section (1) of Section 11 of the Credit Information Companies (Regulation) Act, 2005, and in partial modification of its </w:t>
      </w:r>
      <w:hyperlink r:id="rId6" w:tgtFrame="_blank" w:history="1">
        <w:r>
          <w:rPr>
            <w:rStyle w:val="Hyperlink"/>
            <w:rFonts w:ascii="Arial" w:hAnsi="Arial" w:cs="Arial"/>
            <w:sz w:val="20"/>
            <w:szCs w:val="20"/>
          </w:rPr>
          <w:t>notification CEPD. PRD. No. S873/13.01.001/2021-22 dated November 12, 2021</w:t>
        </w:r>
      </w:hyperlink>
      <w:r>
        <w:rPr>
          <w:rFonts w:ascii="Arial" w:hAnsi="Arial" w:cs="Arial"/>
          <w:color w:val="000000"/>
          <w:sz w:val="20"/>
          <w:szCs w:val="20"/>
        </w:rPr>
        <w:t>, the Reserve Bank of India, being satisfied that it is in public interest to do so, and to provide an avenue for cost free alternate grievance redress to customers of regulated entities covered under the RBIOS 2021 (the Scheme) for grievances against Credit Information Companies, hereby directs that the ‘Credit Information Company’ as defined in the Credit Information Companies (Regulation) Act, 2005, shall also be treated as a ‘Regulated Entity’ for the purpose of the Scheme.</w:t>
      </w:r>
    </w:p>
    <w:p w:rsidR="00356598" w:rsidRDefault="00356598" w:rsidP="00356598">
      <w:pPr>
        <w:pStyle w:val="NormalWeb"/>
        <w:rPr>
          <w:rFonts w:ascii="Arial" w:hAnsi="Arial" w:cs="Arial"/>
          <w:color w:val="000000"/>
          <w:sz w:val="20"/>
          <w:szCs w:val="20"/>
        </w:rPr>
      </w:pPr>
      <w:r>
        <w:rPr>
          <w:rFonts w:ascii="Arial" w:hAnsi="Arial" w:cs="Arial"/>
          <w:color w:val="000000"/>
          <w:sz w:val="20"/>
          <w:szCs w:val="20"/>
        </w:rPr>
        <w:t>2. As a result, the Scheme shall also be applicable to Credit Information Companies to the extent not specifically excluded under the Scheme.</w:t>
      </w:r>
    </w:p>
    <w:p w:rsidR="00356598" w:rsidRDefault="00356598" w:rsidP="00356598">
      <w:pPr>
        <w:pStyle w:val="NormalWeb"/>
        <w:rPr>
          <w:rFonts w:ascii="Arial" w:hAnsi="Arial" w:cs="Arial"/>
          <w:color w:val="000000"/>
          <w:sz w:val="20"/>
          <w:szCs w:val="20"/>
        </w:rPr>
      </w:pPr>
      <w:r>
        <w:rPr>
          <w:rFonts w:ascii="Arial" w:hAnsi="Arial" w:cs="Arial"/>
          <w:color w:val="000000"/>
          <w:sz w:val="20"/>
          <w:szCs w:val="20"/>
        </w:rPr>
        <w:t xml:space="preserve">3. The amendment in the Scheme shall come into force </w:t>
      </w:r>
      <w:proofErr w:type="spellStart"/>
      <w:r>
        <w:rPr>
          <w:rFonts w:ascii="Arial" w:hAnsi="Arial" w:cs="Arial"/>
          <w:color w:val="000000"/>
          <w:sz w:val="20"/>
          <w:szCs w:val="20"/>
        </w:rPr>
        <w:t>w.e.f</w:t>
      </w:r>
      <w:proofErr w:type="spellEnd"/>
      <w:r>
        <w:rPr>
          <w:rFonts w:ascii="Arial" w:hAnsi="Arial" w:cs="Arial"/>
          <w:color w:val="000000"/>
          <w:sz w:val="20"/>
          <w:szCs w:val="20"/>
        </w:rPr>
        <w:t>. September 1, 2022.</w:t>
      </w:r>
    </w:p>
    <w:p w:rsidR="00356598" w:rsidRDefault="00356598" w:rsidP="00356598">
      <w:pPr>
        <w:pStyle w:val="NormalWeb"/>
        <w:rPr>
          <w:rFonts w:ascii="Arial" w:hAnsi="Arial" w:cs="Arial"/>
          <w:color w:val="000000"/>
          <w:sz w:val="20"/>
          <w:szCs w:val="20"/>
        </w:rPr>
      </w:pPr>
      <w:r>
        <w:rPr>
          <w:rFonts w:ascii="Arial" w:hAnsi="Arial" w:cs="Arial"/>
          <w:color w:val="000000"/>
          <w:sz w:val="20"/>
          <w:szCs w:val="20"/>
        </w:rPr>
        <w:t>4. An updated version of the Scheme is </w:t>
      </w:r>
      <w:hyperlink r:id="rId7" w:tgtFrame="_blank" w:history="1">
        <w:r>
          <w:rPr>
            <w:rStyle w:val="Hyperlink"/>
            <w:rFonts w:ascii="Arial" w:hAnsi="Arial" w:cs="Arial"/>
            <w:sz w:val="20"/>
            <w:szCs w:val="20"/>
          </w:rPr>
          <w:t>annexed</w:t>
        </w:r>
      </w:hyperlink>
      <w:r>
        <w:rPr>
          <w:rFonts w:ascii="Arial" w:hAnsi="Arial" w:cs="Arial"/>
          <w:color w:val="000000"/>
          <w:sz w:val="20"/>
          <w:szCs w:val="20"/>
        </w:rPr>
        <w:t>.</w:t>
      </w:r>
    </w:p>
    <w:p w:rsidR="008014DB" w:rsidRDefault="008014DB" w:rsidP="00356598">
      <w:pPr>
        <w:pStyle w:val="NormalWeb"/>
        <w:rPr>
          <w:rFonts w:ascii="Arial" w:hAnsi="Arial" w:cs="Arial"/>
          <w:color w:val="000000"/>
          <w:sz w:val="20"/>
          <w:szCs w:val="20"/>
        </w:rPr>
      </w:pPr>
    </w:p>
    <w:p w:rsidR="00356598" w:rsidRDefault="00356598" w:rsidP="00356598">
      <w:pPr>
        <w:pStyle w:val="NormalWeb"/>
        <w:rPr>
          <w:rFonts w:ascii="Arial" w:hAnsi="Arial" w:cs="Arial"/>
          <w:color w:val="000000"/>
          <w:sz w:val="20"/>
          <w:szCs w:val="20"/>
        </w:rPr>
      </w:pPr>
      <w:r>
        <w:rPr>
          <w:rFonts w:ascii="Arial" w:hAnsi="Arial" w:cs="Arial"/>
          <w:color w:val="000000"/>
          <w:sz w:val="20"/>
          <w:szCs w:val="20"/>
        </w:rPr>
        <w:t>(Anil Kumar Sharma)</w:t>
      </w:r>
    </w:p>
    <w:p w:rsidR="00356598" w:rsidRDefault="00356598" w:rsidP="00356598">
      <w:pPr>
        <w:pStyle w:val="NormalWeb"/>
        <w:rPr>
          <w:rFonts w:ascii="Arial" w:hAnsi="Arial" w:cs="Arial"/>
          <w:color w:val="000000"/>
          <w:sz w:val="20"/>
          <w:szCs w:val="20"/>
        </w:rPr>
      </w:pPr>
    </w:p>
    <w:p w:rsidR="00356598" w:rsidRDefault="00356598" w:rsidP="00356598">
      <w:pPr>
        <w:pStyle w:val="NormalWeb"/>
        <w:rPr>
          <w:rFonts w:ascii="Arial" w:hAnsi="Arial" w:cs="Arial"/>
          <w:color w:val="000000"/>
          <w:sz w:val="20"/>
          <w:szCs w:val="20"/>
        </w:rPr>
      </w:pPr>
    </w:p>
    <w:p w:rsidR="00356598" w:rsidRDefault="00356598" w:rsidP="00356598">
      <w:pPr>
        <w:pStyle w:val="NormalWeb"/>
        <w:rPr>
          <w:rFonts w:ascii="Arial" w:hAnsi="Arial" w:cs="Arial"/>
          <w:color w:val="000000"/>
          <w:sz w:val="20"/>
          <w:szCs w:val="20"/>
        </w:rPr>
      </w:pPr>
    </w:p>
    <w:p w:rsidR="00356598" w:rsidRDefault="00356598" w:rsidP="00356598">
      <w:r>
        <w:t>More details can be referred to in the below link.</w:t>
      </w:r>
    </w:p>
    <w:p w:rsidR="00356598" w:rsidRDefault="00356598" w:rsidP="0035659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8" w:history="1">
        <w:r w:rsidRPr="006865D6">
          <w:rPr>
            <w:rStyle w:val="Hyperlink"/>
            <w:rFonts w:ascii="Arial" w:hAnsi="Arial" w:cs="Arial"/>
            <w:bCs/>
            <w:sz w:val="20"/>
            <w:szCs w:val="20"/>
          </w:rPr>
          <w:t>https://www.rbi.org.in/Scripts/NotificationUser.aspx?Id=12371&amp;Mode=0</w:t>
        </w:r>
      </w:hyperlink>
    </w:p>
    <w:p w:rsidR="00356598" w:rsidRDefault="00356598" w:rsidP="00356598">
      <w:pPr>
        <w:spacing w:line="259" w:lineRule="auto"/>
        <w:rPr>
          <w:rFonts w:ascii="Arial" w:hAnsi="Arial" w:cs="Arial"/>
          <w:bCs/>
          <w:color w:val="000000"/>
          <w:sz w:val="20"/>
          <w:szCs w:val="20"/>
        </w:rPr>
      </w:pPr>
    </w:p>
    <w:p w:rsidR="00356598" w:rsidRDefault="00356598" w:rsidP="00356598">
      <w:pPr>
        <w:spacing w:line="259" w:lineRule="auto"/>
        <w:rPr>
          <w:rFonts w:ascii="Arial" w:hAnsi="Arial" w:cs="Arial"/>
          <w:bCs/>
          <w:color w:val="000000"/>
          <w:sz w:val="20"/>
          <w:szCs w:val="20"/>
        </w:rPr>
      </w:pPr>
    </w:p>
    <w:p w:rsidR="00356598" w:rsidRDefault="00356598" w:rsidP="00356598">
      <w:pPr>
        <w:spacing w:line="259" w:lineRule="auto"/>
        <w:rPr>
          <w:rFonts w:ascii="Arial" w:hAnsi="Arial" w:cs="Arial"/>
          <w:bCs/>
          <w:color w:val="000000"/>
          <w:sz w:val="20"/>
          <w:szCs w:val="20"/>
        </w:rPr>
      </w:pPr>
    </w:p>
    <w:p w:rsidR="00356598" w:rsidRDefault="00356598" w:rsidP="00356598">
      <w:pPr>
        <w:spacing w:line="259" w:lineRule="auto"/>
        <w:rPr>
          <w:rFonts w:ascii="Arial" w:hAnsi="Arial" w:cs="Arial"/>
          <w:bCs/>
          <w:color w:val="000000"/>
          <w:sz w:val="20"/>
          <w:szCs w:val="20"/>
        </w:rPr>
      </w:pPr>
    </w:p>
    <w:p w:rsidR="00356598" w:rsidRDefault="00356598" w:rsidP="00356598">
      <w:pPr>
        <w:spacing w:line="259" w:lineRule="auto"/>
        <w:rPr>
          <w:rFonts w:ascii="Arial" w:hAnsi="Arial" w:cs="Arial"/>
          <w:bCs/>
          <w:color w:val="000000"/>
          <w:sz w:val="20"/>
          <w:szCs w:val="20"/>
        </w:rPr>
      </w:pPr>
    </w:p>
    <w:p w:rsidR="00356598" w:rsidRDefault="00356598" w:rsidP="00356598">
      <w:pPr>
        <w:spacing w:line="259" w:lineRule="auto"/>
        <w:rPr>
          <w:rFonts w:ascii="Arial" w:hAnsi="Arial" w:cs="Arial"/>
          <w:bCs/>
          <w:color w:val="000000"/>
          <w:sz w:val="20"/>
          <w:szCs w:val="20"/>
        </w:rPr>
      </w:pPr>
    </w:p>
    <w:p w:rsidR="00356598" w:rsidRDefault="00356598" w:rsidP="00213882">
      <w:pPr>
        <w:spacing w:line="259" w:lineRule="auto"/>
        <w:rPr>
          <w:rFonts w:ascii="Arial" w:hAnsi="Arial" w:cs="Arial"/>
          <w:sz w:val="20"/>
          <w:szCs w:val="20"/>
        </w:rPr>
      </w:pPr>
    </w:p>
    <w:p w:rsidR="008238D9" w:rsidRDefault="008238D9" w:rsidP="008238D9">
      <w:pPr>
        <w:pStyle w:val="NormalWeb"/>
        <w:rPr>
          <w:rFonts w:ascii="Arial" w:hAnsi="Arial" w:cs="Arial"/>
          <w:b/>
          <w:bCs/>
          <w:color w:val="000000"/>
          <w:sz w:val="20"/>
          <w:szCs w:val="20"/>
        </w:rPr>
      </w:pPr>
      <w:r>
        <w:rPr>
          <w:rFonts w:ascii="Arial" w:hAnsi="Arial" w:cs="Arial"/>
          <w:b/>
          <w:bCs/>
          <w:color w:val="000000"/>
          <w:sz w:val="20"/>
          <w:szCs w:val="20"/>
        </w:rPr>
        <w:t>Guidelines on Digital Lending</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RBI/2022-23/111</w:t>
      </w:r>
      <w:r>
        <w:rPr>
          <w:rFonts w:ascii="Arial" w:hAnsi="Arial" w:cs="Arial"/>
          <w:color w:val="000000"/>
          <w:sz w:val="20"/>
          <w:szCs w:val="20"/>
        </w:rPr>
        <w:br/>
        <w:t>DOR.CRE.REC.66/21.07.001/2022-23</w:t>
      </w:r>
    </w:p>
    <w:p w:rsidR="008238D9" w:rsidRDefault="008238D9" w:rsidP="008238D9">
      <w:pPr>
        <w:pStyle w:val="NormalWeb"/>
        <w:jc w:val="right"/>
        <w:rPr>
          <w:rFonts w:ascii="Arial" w:hAnsi="Arial" w:cs="Arial"/>
          <w:color w:val="000000"/>
          <w:sz w:val="20"/>
          <w:szCs w:val="20"/>
        </w:rPr>
      </w:pPr>
      <w:r>
        <w:rPr>
          <w:rFonts w:ascii="Arial" w:hAnsi="Arial" w:cs="Arial"/>
          <w:color w:val="000000"/>
          <w:sz w:val="20"/>
          <w:szCs w:val="20"/>
        </w:rPr>
        <w:t>September 02, 2022</w:t>
      </w:r>
    </w:p>
    <w:p w:rsidR="008238D9" w:rsidRDefault="008238D9" w:rsidP="008238D9">
      <w:pPr>
        <w:pStyle w:val="NormalWeb"/>
        <w:rPr>
          <w:rFonts w:ascii="Arial" w:hAnsi="Arial" w:cs="Arial"/>
          <w:color w:val="000000"/>
          <w:sz w:val="20"/>
          <w:szCs w:val="20"/>
        </w:rPr>
      </w:pPr>
      <w:r>
        <w:rPr>
          <w:rFonts w:ascii="Arial" w:hAnsi="Arial" w:cs="Arial"/>
          <w:color w:val="000000"/>
          <w:sz w:val="20"/>
          <w:szCs w:val="20"/>
        </w:rPr>
        <w:t>All Commercial Banks,</w:t>
      </w:r>
      <w:r>
        <w:rPr>
          <w:rFonts w:ascii="Arial" w:hAnsi="Arial" w:cs="Arial"/>
          <w:color w:val="000000"/>
          <w:sz w:val="20"/>
          <w:szCs w:val="20"/>
        </w:rPr>
        <w:br/>
        <w:t>Primary (Urban) Co-operative Banks, State Co-operative Banks,</w:t>
      </w:r>
      <w:r>
        <w:rPr>
          <w:rFonts w:ascii="Arial" w:hAnsi="Arial" w:cs="Arial"/>
          <w:color w:val="000000"/>
          <w:sz w:val="20"/>
          <w:szCs w:val="20"/>
        </w:rPr>
        <w:br/>
        <w:t>District Central Co-operative Banks; and</w:t>
      </w:r>
      <w:r>
        <w:rPr>
          <w:rFonts w:ascii="Arial" w:hAnsi="Arial" w:cs="Arial"/>
          <w:color w:val="000000"/>
          <w:sz w:val="20"/>
          <w:szCs w:val="20"/>
        </w:rPr>
        <w:br/>
        <w:t>Non-Banking Financial Companies (including Housing Finance Companies)</w:t>
      </w:r>
    </w:p>
    <w:p w:rsidR="008238D9" w:rsidRDefault="008238D9" w:rsidP="008238D9">
      <w:pPr>
        <w:pStyle w:val="NormalWeb"/>
        <w:rPr>
          <w:rFonts w:ascii="Arial" w:hAnsi="Arial" w:cs="Arial"/>
          <w:color w:val="000000"/>
          <w:sz w:val="20"/>
          <w:szCs w:val="20"/>
        </w:rPr>
      </w:pPr>
      <w:r>
        <w:rPr>
          <w:rFonts w:ascii="Arial" w:hAnsi="Arial" w:cs="Arial"/>
          <w:color w:val="000000"/>
          <w:sz w:val="20"/>
          <w:szCs w:val="20"/>
        </w:rPr>
        <w:t>Madam/ Sir,</w:t>
      </w:r>
    </w:p>
    <w:p w:rsidR="008238D9" w:rsidRDefault="008238D9" w:rsidP="008238D9">
      <w:pPr>
        <w:pStyle w:val="head"/>
        <w:jc w:val="center"/>
        <w:rPr>
          <w:rFonts w:ascii="Arial" w:hAnsi="Arial" w:cs="Arial"/>
          <w:b/>
          <w:bCs/>
          <w:color w:val="000000"/>
          <w:sz w:val="20"/>
          <w:szCs w:val="20"/>
        </w:rPr>
      </w:pPr>
      <w:r>
        <w:rPr>
          <w:rFonts w:ascii="Arial" w:hAnsi="Arial" w:cs="Arial"/>
          <w:b/>
          <w:bCs/>
          <w:color w:val="000000"/>
          <w:sz w:val="20"/>
          <w:szCs w:val="20"/>
        </w:rPr>
        <w:t>Guidelines on Digital Lending</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A reference is invited to para 7 of the </w:t>
      </w:r>
      <w:hyperlink r:id="rId9"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Detailed guidelines on recommendations of the Working Group accepted for immediate implementation are attached as </w:t>
      </w:r>
      <w:hyperlink r:id="rId10" w:anchor="AN1" w:history="1">
        <w:r>
          <w:rPr>
            <w:rStyle w:val="Hyperlink"/>
            <w:rFonts w:ascii="Arial" w:hAnsi="Arial" w:cs="Arial"/>
            <w:sz w:val="20"/>
            <w:szCs w:val="20"/>
          </w:rPr>
          <w:t>Annex I</w:t>
        </w:r>
      </w:hyperlink>
      <w:r>
        <w:rPr>
          <w:rFonts w:ascii="Arial" w:hAnsi="Arial" w:cs="Arial"/>
          <w:color w:val="000000"/>
          <w:sz w:val="20"/>
          <w:szCs w:val="20"/>
        </w:rPr>
        <w:t> to this circular.</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2. It is reiterated that outsourcing arrangements entered by Regulated Entities (REs) with a Lending Service Provider (LSP)/ Digital Lending App (DLA) does not diminish the REs’ obligations and they shall continue to conform to the extant guidelines on outsourcing</w:t>
      </w:r>
      <w:hyperlink r:id="rId11" w:anchor="F1" w:history="1">
        <w:r>
          <w:rPr>
            <w:rStyle w:val="Hyperlink"/>
            <w:rFonts w:ascii="Arial" w:hAnsi="Arial" w:cs="Arial"/>
            <w:sz w:val="15"/>
            <w:szCs w:val="15"/>
            <w:vertAlign w:val="superscript"/>
          </w:rPr>
          <w:t>1</w:t>
        </w:r>
      </w:hyperlink>
      <w:r>
        <w:rPr>
          <w:rFonts w:ascii="Arial" w:hAnsi="Arial" w:cs="Arial"/>
          <w:color w:val="000000"/>
          <w:sz w:val="20"/>
          <w:szCs w:val="20"/>
        </w:rPr>
        <w:t>. The REs are advised to ensure that the LSPs engaged by them and the DLAs (either of the RE or of the LSP engaged by the RE) comply with the guidelines contained in this circular.</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 xml:space="preserve">3. It is further advised that the instructions contained in this circular shall be applicable to the ‘existing customers availing fresh loans’ and to ‘new customers getting </w:t>
      </w:r>
      <w:proofErr w:type="spellStart"/>
      <w:r>
        <w:rPr>
          <w:rFonts w:ascii="Arial" w:hAnsi="Arial" w:cs="Arial"/>
          <w:color w:val="000000"/>
          <w:sz w:val="20"/>
          <w:szCs w:val="20"/>
        </w:rPr>
        <w:t>onboarded</w:t>
      </w:r>
      <w:proofErr w:type="spellEnd"/>
      <w:r>
        <w:rPr>
          <w:rFonts w:ascii="Arial" w:hAnsi="Arial" w:cs="Arial"/>
          <w:color w:val="000000"/>
          <w:sz w:val="20"/>
          <w:szCs w:val="20"/>
        </w:rPr>
        <w:t>’, from the date of this circular. However, in order to ensure a smooth transition, REs shall be given time till November 30, 2022, to put in place adequate systems and processes to ensure that ‘existing digital loans’ (sanctioned as on the date of the circular) are also in compliance with these guidelines in both letter and spirit.</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sections 30A and 32 of the National Housing Bank Act, 1987, section 6 of the Factoring Regulation Act, 2011 and section 11 of the Credit Information Companies (Regulation) Act, 2005.</w:t>
      </w:r>
    </w:p>
    <w:p w:rsidR="008238D9" w:rsidRDefault="008238D9" w:rsidP="008238D9">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8238D9" w:rsidRDefault="008238D9" w:rsidP="008238D9">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8238D9" w:rsidRDefault="008238D9" w:rsidP="008238D9">
      <w:pPr>
        <w:spacing w:before="240" w:after="240"/>
        <w:rPr>
          <w:rFonts w:ascii="Times New Roman" w:hAnsi="Times New Roman" w:cs="Times New Roman"/>
          <w:sz w:val="24"/>
          <w:szCs w:val="24"/>
        </w:rPr>
      </w:pPr>
    </w:p>
    <w:p w:rsidR="008238D9" w:rsidRDefault="008238D9" w:rsidP="008238D9">
      <w:pPr>
        <w:spacing w:before="240" w:after="240"/>
        <w:rPr>
          <w:rFonts w:ascii="Times New Roman" w:hAnsi="Times New Roman" w:cs="Times New Roman"/>
          <w:sz w:val="24"/>
          <w:szCs w:val="24"/>
        </w:rPr>
      </w:pPr>
    </w:p>
    <w:p w:rsidR="008238D9" w:rsidRDefault="008238D9" w:rsidP="008238D9">
      <w:r>
        <w:t>More details can be referred to in the below link.</w:t>
      </w:r>
    </w:p>
    <w:p w:rsidR="008238D9" w:rsidRDefault="008238D9" w:rsidP="008238D9">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12" w:history="1">
        <w:r w:rsidRPr="006865D6">
          <w:rPr>
            <w:rStyle w:val="Hyperlink"/>
            <w:rFonts w:ascii="Arial" w:hAnsi="Arial" w:cs="Arial"/>
            <w:bCs/>
            <w:sz w:val="20"/>
            <w:szCs w:val="20"/>
          </w:rPr>
          <w:t>https://rbi.org.in/Scripts/BS_CircularIndexDisplay.aspx?Id=12382</w:t>
        </w:r>
      </w:hyperlink>
    </w:p>
    <w:p w:rsidR="008238D9" w:rsidRDefault="008238D9" w:rsidP="008238D9">
      <w:pPr>
        <w:spacing w:line="259" w:lineRule="auto"/>
        <w:rPr>
          <w:rStyle w:val="Hyperlink"/>
          <w:rFonts w:ascii="Arial" w:hAnsi="Arial" w:cs="Arial"/>
          <w:bCs/>
          <w:sz w:val="20"/>
          <w:szCs w:val="20"/>
        </w:rPr>
      </w:pPr>
    </w:p>
    <w:p w:rsidR="008238D9" w:rsidRDefault="008238D9" w:rsidP="008238D9">
      <w:pPr>
        <w:spacing w:line="259" w:lineRule="auto"/>
        <w:rPr>
          <w:rStyle w:val="Hyperlink"/>
          <w:rFonts w:ascii="Arial" w:hAnsi="Arial" w:cs="Arial"/>
          <w:bCs/>
          <w:sz w:val="20"/>
          <w:szCs w:val="20"/>
        </w:rPr>
      </w:pPr>
    </w:p>
    <w:p w:rsidR="008238D9" w:rsidRDefault="008238D9" w:rsidP="008238D9">
      <w:pPr>
        <w:spacing w:line="259" w:lineRule="auto"/>
        <w:rPr>
          <w:rStyle w:val="Hyperlink"/>
          <w:rFonts w:ascii="Arial" w:hAnsi="Arial" w:cs="Arial"/>
          <w:bCs/>
          <w:sz w:val="20"/>
          <w:szCs w:val="20"/>
        </w:rPr>
      </w:pPr>
    </w:p>
    <w:p w:rsidR="008238D9" w:rsidRDefault="008238D9" w:rsidP="008238D9">
      <w:pPr>
        <w:spacing w:line="259" w:lineRule="auto"/>
        <w:rPr>
          <w:rStyle w:val="Hyperlink"/>
          <w:rFonts w:ascii="Arial" w:hAnsi="Arial" w:cs="Arial"/>
          <w:bCs/>
          <w:sz w:val="20"/>
          <w:szCs w:val="20"/>
        </w:rPr>
      </w:pPr>
    </w:p>
    <w:p w:rsidR="008238D9" w:rsidRDefault="008238D9" w:rsidP="008238D9">
      <w:pPr>
        <w:spacing w:line="259" w:lineRule="auto"/>
        <w:rPr>
          <w:rStyle w:val="Hyperlink"/>
          <w:rFonts w:ascii="Arial" w:hAnsi="Arial" w:cs="Arial"/>
          <w:bCs/>
          <w:sz w:val="20"/>
          <w:szCs w:val="20"/>
        </w:rPr>
      </w:pPr>
    </w:p>
    <w:p w:rsidR="008238D9" w:rsidRDefault="008238D9" w:rsidP="008238D9">
      <w:pPr>
        <w:spacing w:after="0"/>
        <w:rPr>
          <w:rFonts w:ascii="Arial" w:hAnsi="Arial" w:cs="Arial"/>
          <w:b/>
          <w:bCs/>
          <w:color w:val="000000"/>
          <w:sz w:val="20"/>
          <w:szCs w:val="20"/>
        </w:rPr>
      </w:pPr>
      <w:r>
        <w:rPr>
          <w:rFonts w:ascii="Arial" w:hAnsi="Arial" w:cs="Arial"/>
          <w:b/>
          <w:bCs/>
          <w:color w:val="000000"/>
          <w:sz w:val="20"/>
          <w:szCs w:val="20"/>
        </w:rPr>
        <w:t>Review of Prudential Norms – Risk Weights for Exposures guaranteed by Credit Guarantee Schemes (CGS)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RBI/2022-23/113</w:t>
      </w:r>
      <w:r>
        <w:rPr>
          <w:rFonts w:ascii="Arial" w:hAnsi="Arial" w:cs="Arial"/>
          <w:color w:val="000000"/>
          <w:sz w:val="20"/>
          <w:szCs w:val="20"/>
        </w:rPr>
        <w:br/>
        <w:t>DOR.STR.REC.67/21.06.201/2022-23</w:t>
      </w:r>
    </w:p>
    <w:p w:rsidR="008238D9" w:rsidRDefault="008238D9" w:rsidP="008238D9">
      <w:pPr>
        <w:pStyle w:val="NormalWeb"/>
        <w:jc w:val="right"/>
        <w:rPr>
          <w:rFonts w:ascii="Arial" w:hAnsi="Arial" w:cs="Arial"/>
          <w:color w:val="000000"/>
          <w:sz w:val="20"/>
          <w:szCs w:val="20"/>
        </w:rPr>
      </w:pPr>
      <w:r>
        <w:rPr>
          <w:rFonts w:ascii="Arial" w:hAnsi="Arial" w:cs="Arial"/>
          <w:color w:val="000000"/>
          <w:sz w:val="20"/>
          <w:szCs w:val="20"/>
        </w:rPr>
        <w:t>September 07, 2022</w:t>
      </w:r>
    </w:p>
    <w:p w:rsidR="008238D9" w:rsidRDefault="008238D9" w:rsidP="008238D9">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Primary (Urban) Co-operative Banks</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All-India Financial Institutions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Dear Sir/Madam,</w:t>
      </w:r>
    </w:p>
    <w:p w:rsidR="008238D9" w:rsidRDefault="008238D9" w:rsidP="008238D9">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guaranteed by Credit Guarantee Schemes (CGS)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Please refer to paragraph 5.2 of the </w:t>
      </w:r>
      <w:hyperlink r:id="rId13"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in terms of which banks are permitted to apply zero percent risk weights in respect of claims on Credit Guarantee Fund Trust for Micro and Small Enterprises (CGTMSE), Credit Risk Guarantee Fund Trust for Low Income Housing (CRGFTLIH) and individual schemes under National Credit Guarantee Trustee Company Ltd (NCGTC).</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2. In order to have a consistent approach with regard to risk weights for exposures guaranteed by such Trust Funds, it is advised that the risk weight of zero percent shall be applicable in respect of exposures guaranteed under any existing or future schemes launched by CGTMSE, CRGFTLIH and NCGTC satisfying the following conditions:</w:t>
      </w:r>
    </w:p>
    <w:p w:rsidR="008238D9" w:rsidRDefault="008238D9" w:rsidP="008238D9">
      <w:pPr>
        <w:pStyle w:val="NormalWeb"/>
        <w:numPr>
          <w:ilvl w:val="0"/>
          <w:numId w:val="38"/>
        </w:numPr>
        <w:ind w:left="0"/>
        <w:jc w:val="both"/>
        <w:rPr>
          <w:rFonts w:ascii="Arial" w:hAnsi="Arial" w:cs="Arial"/>
          <w:color w:val="000000"/>
          <w:sz w:val="20"/>
          <w:szCs w:val="20"/>
        </w:rPr>
      </w:pPr>
      <w:r>
        <w:rPr>
          <w:rStyle w:val="head1"/>
          <w:rFonts w:ascii="Arial" w:hAnsi="Arial" w:cs="Arial"/>
          <w:b/>
          <w:bCs/>
          <w:color w:val="000000"/>
          <w:sz w:val="20"/>
          <w:szCs w:val="20"/>
        </w:rPr>
        <w:t>Prudential Aspects:</w:t>
      </w:r>
      <w:r>
        <w:rPr>
          <w:rFonts w:ascii="Arial" w:hAnsi="Arial" w:cs="Arial"/>
          <w:color w:val="000000"/>
          <w:sz w:val="20"/>
          <w:szCs w:val="20"/>
        </w:rPr>
        <w:t> The guarantees provided under the respective schemes should comply with the requirements for credit risk mitigation in terms of paragraph 7.5 of the </w:t>
      </w:r>
      <w:hyperlink r:id="rId14"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which inter alia requires such guarantees to be direct, explicit, irrevocable and unconditional;</w:t>
      </w:r>
    </w:p>
    <w:p w:rsidR="008238D9" w:rsidRDefault="008238D9" w:rsidP="008238D9">
      <w:pPr>
        <w:pStyle w:val="NormalWeb"/>
        <w:numPr>
          <w:ilvl w:val="0"/>
          <w:numId w:val="38"/>
        </w:numPr>
        <w:ind w:left="0"/>
        <w:jc w:val="both"/>
        <w:rPr>
          <w:rFonts w:ascii="Arial" w:hAnsi="Arial" w:cs="Arial"/>
          <w:color w:val="000000"/>
          <w:sz w:val="20"/>
          <w:szCs w:val="20"/>
        </w:rPr>
      </w:pPr>
      <w:r>
        <w:rPr>
          <w:rStyle w:val="head1"/>
          <w:rFonts w:ascii="Arial" w:hAnsi="Arial" w:cs="Arial"/>
          <w:b/>
          <w:bCs/>
          <w:color w:val="000000"/>
          <w:sz w:val="20"/>
          <w:szCs w:val="20"/>
        </w:rPr>
        <w:t>Restrictions on permissible claims:</w:t>
      </w:r>
      <w:r>
        <w:rPr>
          <w:rFonts w:ascii="Arial" w:hAnsi="Arial" w:cs="Arial"/>
          <w:color w:val="000000"/>
          <w:sz w:val="20"/>
          <w:szCs w:val="20"/>
        </w:rPr>
        <w:t xml:space="preserve"> Where the terms of the guarantee schemes restrict the maximum permissible claims through features like specified extent of guarantee coverage, clause on first loss absorption by member lending institutions (MLI), </w:t>
      </w:r>
      <w:proofErr w:type="spellStart"/>
      <w:r>
        <w:rPr>
          <w:rFonts w:ascii="Arial" w:hAnsi="Arial" w:cs="Arial"/>
          <w:color w:val="000000"/>
          <w:sz w:val="20"/>
          <w:szCs w:val="20"/>
        </w:rPr>
        <w:t>payout</w:t>
      </w:r>
      <w:proofErr w:type="spellEnd"/>
      <w:r>
        <w:rPr>
          <w:rFonts w:ascii="Arial" w:hAnsi="Arial" w:cs="Arial"/>
          <w:color w:val="000000"/>
          <w:sz w:val="20"/>
          <w:szCs w:val="20"/>
        </w:rPr>
        <w:t xml:space="preserve"> cap, etc., the zero percent risk weight shall be restricted to the maximum permissible claim and the residual exposure shall be subjected to risk weight as applicable to the counterparty in terms of extant regulations.</w:t>
      </w:r>
    </w:p>
    <w:p w:rsidR="008238D9" w:rsidRDefault="008238D9" w:rsidP="008238D9">
      <w:pPr>
        <w:pStyle w:val="NormalWeb"/>
        <w:numPr>
          <w:ilvl w:val="0"/>
          <w:numId w:val="38"/>
        </w:numPr>
        <w:ind w:left="0"/>
        <w:jc w:val="both"/>
        <w:rPr>
          <w:rFonts w:ascii="Arial" w:hAnsi="Arial" w:cs="Arial"/>
          <w:color w:val="000000"/>
          <w:sz w:val="20"/>
          <w:szCs w:val="20"/>
        </w:rPr>
      </w:pPr>
      <w:r>
        <w:rPr>
          <w:rFonts w:ascii="Arial" w:hAnsi="Arial" w:cs="Arial"/>
          <w:color w:val="000000"/>
          <w:sz w:val="20"/>
          <w:szCs w:val="20"/>
        </w:rPr>
        <w:t>In case of a portfolio-level guarantee, effective from April 1, 2023, the extent of exposure subjected to first loss absorption by the MLI, if any, shall be subjected to full capital deduction and the residual exposure shall be subjected to risk weight as applicable to the counterparty in terms of extant regulations, on a pro rata basis. The maximum capital charge shall be capped at a notional level arrived at by treating the entire exposure as unguaranteed.</w:t>
      </w:r>
    </w:p>
    <w:p w:rsidR="008238D9" w:rsidRDefault="008238D9" w:rsidP="008238D9">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8238D9" w:rsidRDefault="008238D9" w:rsidP="008238D9">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8238D9" w:rsidRDefault="008238D9" w:rsidP="008238D9"/>
    <w:p w:rsidR="008238D9" w:rsidRDefault="008238D9" w:rsidP="008238D9">
      <w:r>
        <w:t>More details can be referred to in the below link.</w:t>
      </w:r>
    </w:p>
    <w:p w:rsidR="008238D9" w:rsidRDefault="008238D9" w:rsidP="008238D9">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15" w:history="1">
        <w:r w:rsidRPr="00550186">
          <w:rPr>
            <w:rStyle w:val="Hyperlink"/>
            <w:rFonts w:ascii="Arial" w:hAnsi="Arial" w:cs="Arial"/>
            <w:bCs/>
            <w:sz w:val="20"/>
            <w:szCs w:val="20"/>
          </w:rPr>
          <w:t>https://www.rbi.org.in/scripts/NotificationUser.aspx?Id=12384&amp;Mode=0</w:t>
        </w:r>
      </w:hyperlink>
    </w:p>
    <w:p w:rsidR="008014DB" w:rsidRDefault="008014DB">
      <w:pPr>
        <w:spacing w:line="259" w:lineRule="auto"/>
        <w:rPr>
          <w:rFonts w:ascii="Arial" w:hAnsi="Arial" w:cs="Arial"/>
          <w:b/>
          <w:bCs/>
          <w:color w:val="000000"/>
          <w:sz w:val="20"/>
          <w:szCs w:val="20"/>
        </w:rPr>
      </w:pPr>
      <w:r>
        <w:rPr>
          <w:rFonts w:ascii="Arial" w:hAnsi="Arial" w:cs="Arial"/>
          <w:b/>
          <w:bCs/>
          <w:color w:val="000000"/>
          <w:sz w:val="20"/>
          <w:szCs w:val="20"/>
        </w:rPr>
        <w:br w:type="page"/>
      </w:r>
    </w:p>
    <w:p w:rsidR="008014DB" w:rsidRDefault="008014DB" w:rsidP="008238D9">
      <w:pPr>
        <w:spacing w:line="259" w:lineRule="auto"/>
        <w:rPr>
          <w:rFonts w:ascii="Arial" w:hAnsi="Arial" w:cs="Arial"/>
          <w:b/>
          <w:bCs/>
          <w:color w:val="000000"/>
          <w:sz w:val="20"/>
          <w:szCs w:val="20"/>
        </w:rPr>
      </w:pPr>
    </w:p>
    <w:p w:rsidR="008238D9" w:rsidRDefault="008238D9" w:rsidP="008238D9">
      <w:pPr>
        <w:spacing w:line="259" w:lineRule="auto"/>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RBI/2022-23/125</w:t>
      </w:r>
      <w:r>
        <w:rPr>
          <w:rFonts w:ascii="Arial" w:hAnsi="Arial" w:cs="Arial"/>
          <w:color w:val="000000"/>
          <w:sz w:val="20"/>
          <w:szCs w:val="20"/>
        </w:rPr>
        <w:br/>
        <w:t>DOR.STR.REC.71/21.06.201/2022-23</w:t>
      </w:r>
    </w:p>
    <w:p w:rsidR="008238D9" w:rsidRDefault="008238D9" w:rsidP="008238D9">
      <w:pPr>
        <w:pStyle w:val="NormalWeb"/>
        <w:jc w:val="right"/>
        <w:rPr>
          <w:rFonts w:ascii="Arial" w:hAnsi="Arial" w:cs="Arial"/>
          <w:color w:val="000000"/>
          <w:sz w:val="20"/>
          <w:szCs w:val="20"/>
        </w:rPr>
      </w:pPr>
      <w:r>
        <w:rPr>
          <w:rFonts w:ascii="Arial" w:hAnsi="Arial" w:cs="Arial"/>
          <w:color w:val="000000"/>
          <w:sz w:val="20"/>
          <w:szCs w:val="20"/>
        </w:rPr>
        <w:t>October 10, 2022</w:t>
      </w:r>
    </w:p>
    <w:p w:rsidR="008238D9" w:rsidRDefault="008238D9" w:rsidP="008238D9">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Regional Rural Banks and Payments Banks)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Madam/Dear Sir,</w:t>
      </w:r>
    </w:p>
    <w:p w:rsidR="008238D9" w:rsidRDefault="008238D9" w:rsidP="008238D9">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Please refer to paragraph 6.8.1 (i) of </w:t>
      </w:r>
      <w:hyperlink r:id="rId16"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xml:space="preserve"> in terms of which banks are permitted to derive risk weights for their unrated exposures based on the ratings available for a specific rated debt subject to the conditions specified that the bank’s facility ranks </w:t>
      </w:r>
      <w:proofErr w:type="spellStart"/>
      <w:r>
        <w:rPr>
          <w:rFonts w:ascii="Arial" w:hAnsi="Arial" w:cs="Arial"/>
          <w:color w:val="000000"/>
          <w:sz w:val="20"/>
          <w:szCs w:val="20"/>
        </w:rPr>
        <w:t>pari</w:t>
      </w:r>
      <w:proofErr w:type="spellEnd"/>
      <w:r>
        <w:rPr>
          <w:rFonts w:ascii="Arial" w:hAnsi="Arial" w:cs="Arial"/>
          <w:color w:val="000000"/>
          <w:sz w:val="20"/>
          <w:szCs w:val="20"/>
        </w:rPr>
        <w:t xml:space="preserve"> </w:t>
      </w:r>
      <w:proofErr w:type="spellStart"/>
      <w:r>
        <w:rPr>
          <w:rFonts w:ascii="Arial" w:hAnsi="Arial" w:cs="Arial"/>
          <w:color w:val="000000"/>
          <w:sz w:val="20"/>
          <w:szCs w:val="20"/>
        </w:rPr>
        <w:t>passu</w:t>
      </w:r>
      <w:proofErr w:type="spellEnd"/>
      <w:r>
        <w:rPr>
          <w:rFonts w:ascii="Arial" w:hAnsi="Arial" w:cs="Arial"/>
          <w:color w:val="000000"/>
          <w:sz w:val="20"/>
          <w:szCs w:val="20"/>
        </w:rPr>
        <w:t xml:space="preserve"> or senior to the specific rated debt in all respects and the maturity of the unassessed claim is not later than the maturity of the rated claim. Banks may also refer to paragraph 6.2.5 of the Master Circular ibid regarding publication of bank loan ratings by External Credit Assessment Institutions (ECAIs).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 xml:space="preserve">2. It is observed that the Press Releases (PRs) issued by ECAIs on rating actions are often devoid of the lenders’ details. Absence of such information may result in banks applying the derived risk weights for unrated exposures, without satisfying themselves regarding adherence to prescribed conditions. This may, consequentially, lead to potentially lower provision of capital as well as </w:t>
      </w:r>
      <w:proofErr w:type="spellStart"/>
      <w:r>
        <w:rPr>
          <w:rFonts w:ascii="Arial" w:hAnsi="Arial" w:cs="Arial"/>
          <w:color w:val="000000"/>
          <w:sz w:val="20"/>
          <w:szCs w:val="20"/>
        </w:rPr>
        <w:t>underpricing</w:t>
      </w:r>
      <w:proofErr w:type="spellEnd"/>
      <w:r>
        <w:rPr>
          <w:rFonts w:ascii="Arial" w:hAnsi="Arial" w:cs="Arial"/>
          <w:color w:val="000000"/>
          <w:sz w:val="20"/>
          <w:szCs w:val="20"/>
        </w:rPr>
        <w:t xml:space="preserve"> of risks. In order to address the above information asymmetry, the Reserve Bank had advised the ECAIs vide letter dated June 4, 2021 to disclose the name of the banks and the corresponding credit facilities rated by them in the PRs issued on rating actions by August 31, 2021, after obtaining requisite consent from the borrowers.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3. However, on a review it has been observed that the above disclosures are not available in a large number of PRs issued by ECAIs owing to the absence of requisite consent by the borrowers to the ECAIs. It is, therefore, advised that a bank loan rating without the above disclosure by the ECAI shall not be eligible for being reckoned for capital computation by banks. Banks shall treat such exposures as unrated and assign applicable risk weights in terms of paragraph 5.8.1 of the Master Circular ibid read with amendments carried out from time to time.</w:t>
      </w:r>
    </w:p>
    <w:p w:rsidR="008238D9" w:rsidRDefault="008238D9" w:rsidP="008238D9">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8238D9" w:rsidRDefault="008238D9" w:rsidP="008238D9">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8238D9" w:rsidRDefault="008238D9" w:rsidP="008238D9">
      <w:pPr>
        <w:spacing w:line="259" w:lineRule="auto"/>
        <w:rPr>
          <w:rFonts w:ascii="Arial" w:hAnsi="Arial" w:cs="Arial"/>
          <w:sz w:val="20"/>
          <w:szCs w:val="20"/>
        </w:rPr>
      </w:pPr>
    </w:p>
    <w:p w:rsidR="008238D9" w:rsidRDefault="008238D9" w:rsidP="008238D9">
      <w:pPr>
        <w:spacing w:line="259" w:lineRule="auto"/>
        <w:rPr>
          <w:rFonts w:ascii="Arial" w:hAnsi="Arial" w:cs="Arial"/>
          <w:sz w:val="20"/>
          <w:szCs w:val="20"/>
        </w:rPr>
      </w:pPr>
    </w:p>
    <w:p w:rsidR="008238D9" w:rsidRDefault="008238D9" w:rsidP="008238D9">
      <w:r>
        <w:t>More details can be referred to in the below link.</w:t>
      </w:r>
    </w:p>
    <w:p w:rsidR="008238D9" w:rsidRDefault="008238D9" w:rsidP="008238D9">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7" w:history="1">
        <w:r w:rsidRPr="00B27270">
          <w:rPr>
            <w:rStyle w:val="Hyperlink"/>
            <w:rFonts w:ascii="Arial" w:hAnsi="Arial" w:cs="Arial"/>
            <w:bCs/>
            <w:sz w:val="20"/>
            <w:szCs w:val="20"/>
          </w:rPr>
          <w:t>https://www.rbi.org.in/Scripts/NotificationUser.aspx?Id=12396&amp;Mode=0</w:t>
        </w:r>
      </w:hyperlink>
    </w:p>
    <w:p w:rsidR="008238D9" w:rsidRDefault="008238D9" w:rsidP="008238D9">
      <w:pPr>
        <w:spacing w:line="259" w:lineRule="auto"/>
        <w:rPr>
          <w:rFonts w:ascii="Arial" w:hAnsi="Arial" w:cs="Arial"/>
          <w:sz w:val="20"/>
          <w:szCs w:val="20"/>
        </w:rPr>
      </w:pPr>
    </w:p>
    <w:p w:rsidR="008238D9" w:rsidRDefault="008238D9" w:rsidP="008238D9">
      <w:pPr>
        <w:spacing w:line="259" w:lineRule="auto"/>
        <w:rPr>
          <w:rFonts w:ascii="Arial" w:hAnsi="Arial" w:cs="Arial"/>
          <w:sz w:val="20"/>
          <w:szCs w:val="20"/>
        </w:rPr>
      </w:pPr>
    </w:p>
    <w:p w:rsidR="008238D9" w:rsidRDefault="008238D9" w:rsidP="008238D9">
      <w:pPr>
        <w:spacing w:line="259" w:lineRule="auto"/>
        <w:rPr>
          <w:rFonts w:ascii="Arial" w:hAnsi="Arial" w:cs="Arial"/>
          <w:sz w:val="20"/>
          <w:szCs w:val="20"/>
        </w:rPr>
      </w:pPr>
    </w:p>
    <w:p w:rsidR="008238D9" w:rsidRDefault="008238D9" w:rsidP="008238D9">
      <w:pPr>
        <w:spacing w:line="259" w:lineRule="auto"/>
        <w:rPr>
          <w:rFonts w:ascii="Arial" w:hAnsi="Arial" w:cs="Arial"/>
          <w:sz w:val="20"/>
          <w:szCs w:val="20"/>
        </w:rPr>
      </w:pPr>
    </w:p>
    <w:p w:rsidR="008238D9" w:rsidRDefault="008238D9" w:rsidP="008238D9">
      <w:pPr>
        <w:spacing w:line="259" w:lineRule="auto"/>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RBI/2022-23/130</w:t>
      </w:r>
      <w:r>
        <w:rPr>
          <w:rFonts w:ascii="Arial" w:hAnsi="Arial" w:cs="Arial"/>
          <w:color w:val="000000"/>
          <w:sz w:val="20"/>
          <w:szCs w:val="20"/>
        </w:rPr>
        <w:br/>
        <w:t>DOR.ACC.REC.No.74/21.04.018/2022-23</w:t>
      </w:r>
    </w:p>
    <w:p w:rsidR="008238D9" w:rsidRDefault="008238D9" w:rsidP="008238D9">
      <w:pPr>
        <w:pStyle w:val="NormalWeb"/>
        <w:jc w:val="right"/>
        <w:rPr>
          <w:rFonts w:ascii="Arial" w:hAnsi="Arial" w:cs="Arial"/>
          <w:color w:val="000000"/>
          <w:sz w:val="20"/>
          <w:szCs w:val="20"/>
        </w:rPr>
      </w:pPr>
      <w:r>
        <w:rPr>
          <w:rFonts w:ascii="Arial" w:hAnsi="Arial" w:cs="Arial"/>
          <w:color w:val="000000"/>
          <w:sz w:val="20"/>
          <w:szCs w:val="20"/>
        </w:rPr>
        <w:t>October 11, 2022</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Madam / Dear Sir,</w:t>
      </w:r>
    </w:p>
    <w:p w:rsidR="008238D9" w:rsidRDefault="008238D9" w:rsidP="008238D9">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In terms of paragraph C.4(e) of Annexure III to the </w:t>
      </w:r>
      <w:hyperlink r:id="rId18"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commercial banks (excluding Regional Rural Banks (RRBs)) are required to disclose details of divergence in asset classification and provisioning where such divergence assessed by the Reserve Bank of India (RBI) exceeds certain specified thresholds. In order to strengthen compliance with income recognition, asset classification and provisioning norms, it has now been decided to introduce similar disclosure requirements for Primary (Urban) Co-operative Banks (UCBs) and revise the specified thresholds for commercial banks.</w:t>
      </w:r>
    </w:p>
    <w:p w:rsidR="008238D9" w:rsidRDefault="008238D9" w:rsidP="008238D9">
      <w:pPr>
        <w:pStyle w:val="NormalWeb"/>
        <w:spacing w:after="0" w:afterAutospacing="0"/>
        <w:jc w:val="both"/>
        <w:rPr>
          <w:rFonts w:ascii="Arial" w:hAnsi="Arial" w:cs="Arial"/>
          <w:color w:val="000000"/>
          <w:sz w:val="20"/>
          <w:szCs w:val="20"/>
        </w:rPr>
      </w:pPr>
      <w:r>
        <w:rPr>
          <w:rFonts w:ascii="Arial" w:hAnsi="Arial" w:cs="Arial"/>
          <w:color w:val="000000"/>
          <w:sz w:val="20"/>
          <w:szCs w:val="20"/>
        </w:rPr>
        <w:t>2. Accordingly, for the financial statements for the year ending March 31, 2023, banks shall make suitable disclosures in the manner specified in paragraph C.4(e) of Annex III to the afore-mentioned Directions, if either or both of the following conditions are satisfied:</w:t>
      </w:r>
    </w:p>
    <w:p w:rsidR="008238D9" w:rsidRDefault="008238D9" w:rsidP="008238D9">
      <w:pPr>
        <w:pStyle w:val="NormalWeb"/>
        <w:numPr>
          <w:ilvl w:val="0"/>
          <w:numId w:val="37"/>
        </w:numPr>
        <w:ind w:left="0"/>
        <w:jc w:val="both"/>
        <w:rPr>
          <w:rFonts w:ascii="Arial" w:hAnsi="Arial" w:cs="Arial"/>
          <w:color w:val="000000"/>
          <w:sz w:val="20"/>
          <w:szCs w:val="20"/>
        </w:rPr>
      </w:pPr>
      <w:r>
        <w:rPr>
          <w:rFonts w:ascii="Arial" w:hAnsi="Arial" w:cs="Arial"/>
          <w:color w:val="000000"/>
          <w:sz w:val="20"/>
          <w:szCs w:val="20"/>
        </w:rPr>
        <w:t>the additional provisioning for non-performing assets (NPAs) assessed by the RBI exceeds 10 per cent of the reported profit before provisions and contingencies</w:t>
      </w:r>
      <w:hyperlink r:id="rId19" w:anchor="F1" w:history="1">
        <w:r>
          <w:rPr>
            <w:rStyle w:val="Hyperlink"/>
            <w:rFonts w:ascii="Arial" w:hAnsi="Arial" w:cs="Arial"/>
            <w:sz w:val="15"/>
            <w:szCs w:val="15"/>
            <w:vertAlign w:val="superscript"/>
          </w:rPr>
          <w:t>1</w:t>
        </w:r>
      </w:hyperlink>
      <w:r>
        <w:rPr>
          <w:rFonts w:ascii="Arial" w:hAnsi="Arial" w:cs="Arial"/>
          <w:color w:val="000000"/>
          <w:sz w:val="20"/>
          <w:szCs w:val="20"/>
        </w:rPr>
        <w:t> for the reference period; and</w:t>
      </w:r>
    </w:p>
    <w:p w:rsidR="008238D9" w:rsidRDefault="008238D9" w:rsidP="008238D9">
      <w:pPr>
        <w:pStyle w:val="NormalWeb"/>
        <w:numPr>
          <w:ilvl w:val="0"/>
          <w:numId w:val="37"/>
        </w:numPr>
        <w:spacing w:before="0" w:beforeAutospacing="0" w:after="0" w:afterAutospacing="0"/>
        <w:ind w:left="0"/>
        <w:jc w:val="both"/>
        <w:rPr>
          <w:rFonts w:ascii="Arial" w:hAnsi="Arial" w:cs="Arial"/>
          <w:color w:val="000000"/>
          <w:sz w:val="20"/>
          <w:szCs w:val="20"/>
        </w:rPr>
      </w:pPr>
      <w:r>
        <w:rPr>
          <w:rFonts w:ascii="Arial" w:hAnsi="Arial" w:cs="Arial"/>
          <w:color w:val="000000"/>
          <w:sz w:val="20"/>
          <w:szCs w:val="20"/>
        </w:rPr>
        <w:t>the additional Gross NPAs identified by the RBI exceed 10 per cent of the reported</w:t>
      </w:r>
      <w:hyperlink r:id="rId20" w:anchor="F2" w:history="1">
        <w:r>
          <w:rPr>
            <w:rStyle w:val="Hyperlink"/>
            <w:rFonts w:ascii="Arial" w:hAnsi="Arial" w:cs="Arial"/>
            <w:sz w:val="15"/>
            <w:szCs w:val="15"/>
            <w:vertAlign w:val="superscript"/>
          </w:rPr>
          <w:t>2</w:t>
        </w:r>
      </w:hyperlink>
      <w:r>
        <w:rPr>
          <w:rFonts w:ascii="Arial" w:hAnsi="Arial" w:cs="Arial"/>
          <w:color w:val="000000"/>
          <w:sz w:val="20"/>
          <w:szCs w:val="20"/>
        </w:rPr>
        <w:t> incremental Gross NPAs for the reference period.</w:t>
      </w:r>
    </w:p>
    <w:p w:rsidR="008238D9" w:rsidRDefault="008238D9" w:rsidP="008238D9">
      <w:pPr>
        <w:pStyle w:val="NormalWeb"/>
        <w:spacing w:before="0" w:beforeAutospacing="0"/>
        <w:jc w:val="both"/>
        <w:rPr>
          <w:rFonts w:ascii="Arial" w:hAnsi="Arial" w:cs="Arial"/>
          <w:color w:val="000000"/>
          <w:sz w:val="20"/>
          <w:szCs w:val="20"/>
        </w:rPr>
      </w:pPr>
      <w:r>
        <w:rPr>
          <w:rFonts w:ascii="Arial" w:hAnsi="Arial" w:cs="Arial"/>
          <w:color w:val="000000"/>
          <w:sz w:val="20"/>
          <w:szCs w:val="20"/>
        </w:rPr>
        <w:t>Provided further that in the case of UCBs the threshold for reported incremental Gross NPAs specified in paragraph 2(b) above shall be 15 per cent, which shall be reduced progressively in a phased manner, after review.</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3. The thresholds specified in paragraph (2) above shall be revised for disclosures in annual financial statements for the year ending March 31, 2024, and onwards, as under:</w:t>
      </w:r>
    </w:p>
    <w:tbl>
      <w:tblPr>
        <w:tblW w:w="5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4682"/>
        <w:gridCol w:w="2694"/>
        <w:gridCol w:w="1859"/>
      </w:tblGrid>
      <w:tr w:rsidR="008238D9" w:rsidTr="00FF375A">
        <w:trPr>
          <w:trHeight w:val="437"/>
          <w:jc w:val="center"/>
        </w:trPr>
        <w:tc>
          <w:tcPr>
            <w:tcW w:w="286" w:type="pct"/>
            <w:tcMar>
              <w:top w:w="0" w:type="dxa"/>
              <w:left w:w="45" w:type="dxa"/>
              <w:bottom w:w="0" w:type="dxa"/>
              <w:right w:w="45" w:type="dxa"/>
            </w:tcMar>
            <w:vAlign w:val="center"/>
            <w:hideMark/>
          </w:tcPr>
          <w:p w:rsidR="008238D9" w:rsidRDefault="008238D9" w:rsidP="00FF375A">
            <w:pPr>
              <w:jc w:val="center"/>
              <w:rPr>
                <w:rFonts w:ascii="Arial" w:hAnsi="Arial" w:cs="Arial"/>
                <w:b/>
                <w:bCs/>
                <w:color w:val="000000"/>
                <w:sz w:val="20"/>
                <w:szCs w:val="20"/>
              </w:rPr>
            </w:pPr>
            <w:r>
              <w:rPr>
                <w:rFonts w:ascii="Arial" w:hAnsi="Arial" w:cs="Arial"/>
                <w:b/>
                <w:bCs/>
                <w:color w:val="000000"/>
                <w:sz w:val="20"/>
                <w:szCs w:val="20"/>
              </w:rPr>
              <w:t>Ref.</w:t>
            </w:r>
          </w:p>
        </w:tc>
        <w:tc>
          <w:tcPr>
            <w:tcW w:w="2390" w:type="pct"/>
            <w:tcMar>
              <w:top w:w="0" w:type="dxa"/>
              <w:left w:w="45" w:type="dxa"/>
              <w:bottom w:w="0" w:type="dxa"/>
              <w:right w:w="45" w:type="dxa"/>
            </w:tcMar>
            <w:vAlign w:val="center"/>
            <w:hideMark/>
          </w:tcPr>
          <w:p w:rsidR="008238D9" w:rsidRDefault="008238D9" w:rsidP="00FF375A">
            <w:pPr>
              <w:jc w:val="center"/>
              <w:rPr>
                <w:rFonts w:ascii="Arial" w:hAnsi="Arial" w:cs="Arial"/>
                <w:b/>
                <w:bCs/>
                <w:color w:val="000000"/>
                <w:sz w:val="20"/>
                <w:szCs w:val="20"/>
              </w:rPr>
            </w:pPr>
            <w:r>
              <w:rPr>
                <w:rFonts w:ascii="Arial" w:hAnsi="Arial" w:cs="Arial"/>
                <w:b/>
                <w:bCs/>
                <w:color w:val="000000"/>
                <w:sz w:val="20"/>
                <w:szCs w:val="20"/>
              </w:rPr>
              <w:t>Threshold linked to:</w:t>
            </w:r>
          </w:p>
        </w:tc>
        <w:tc>
          <w:tcPr>
            <w:tcW w:w="1375" w:type="pct"/>
            <w:tcMar>
              <w:top w:w="0" w:type="dxa"/>
              <w:left w:w="45" w:type="dxa"/>
              <w:bottom w:w="0" w:type="dxa"/>
              <w:right w:w="45" w:type="dxa"/>
            </w:tcMar>
            <w:vAlign w:val="center"/>
            <w:hideMark/>
          </w:tcPr>
          <w:p w:rsidR="008238D9" w:rsidRDefault="008238D9" w:rsidP="00FF375A">
            <w:pPr>
              <w:jc w:val="center"/>
              <w:rPr>
                <w:rFonts w:ascii="Arial" w:hAnsi="Arial" w:cs="Arial"/>
                <w:b/>
                <w:bCs/>
                <w:color w:val="000000"/>
                <w:sz w:val="20"/>
                <w:szCs w:val="20"/>
              </w:rPr>
            </w:pPr>
            <w:r>
              <w:rPr>
                <w:rFonts w:ascii="Arial" w:hAnsi="Arial" w:cs="Arial"/>
                <w:b/>
                <w:bCs/>
                <w:color w:val="000000"/>
                <w:sz w:val="20"/>
                <w:szCs w:val="20"/>
              </w:rPr>
              <w:t>Commercial Banks (%)</w:t>
            </w:r>
          </w:p>
        </w:tc>
        <w:tc>
          <w:tcPr>
            <w:tcW w:w="949" w:type="pct"/>
            <w:tcMar>
              <w:top w:w="0" w:type="dxa"/>
              <w:left w:w="45" w:type="dxa"/>
              <w:bottom w:w="0" w:type="dxa"/>
              <w:right w:w="45" w:type="dxa"/>
            </w:tcMar>
            <w:vAlign w:val="center"/>
            <w:hideMark/>
          </w:tcPr>
          <w:p w:rsidR="008238D9" w:rsidRDefault="008238D9" w:rsidP="00FF375A">
            <w:pPr>
              <w:jc w:val="center"/>
              <w:rPr>
                <w:rFonts w:ascii="Arial" w:hAnsi="Arial" w:cs="Arial"/>
                <w:b/>
                <w:bCs/>
                <w:color w:val="000000"/>
                <w:sz w:val="20"/>
                <w:szCs w:val="20"/>
              </w:rPr>
            </w:pPr>
            <w:r>
              <w:rPr>
                <w:rFonts w:ascii="Arial" w:hAnsi="Arial" w:cs="Arial"/>
                <w:b/>
                <w:bCs/>
                <w:color w:val="000000"/>
                <w:sz w:val="20"/>
                <w:szCs w:val="20"/>
              </w:rPr>
              <w:t>UCBs (%)</w:t>
            </w:r>
          </w:p>
        </w:tc>
      </w:tr>
      <w:tr w:rsidR="008238D9" w:rsidTr="00FF375A">
        <w:trPr>
          <w:trHeight w:val="442"/>
          <w:jc w:val="center"/>
        </w:trPr>
        <w:tc>
          <w:tcPr>
            <w:tcW w:w="286"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2(a)</w:t>
            </w:r>
          </w:p>
        </w:tc>
        <w:tc>
          <w:tcPr>
            <w:tcW w:w="2390" w:type="pct"/>
            <w:tcMar>
              <w:top w:w="0" w:type="dxa"/>
              <w:left w:w="45" w:type="dxa"/>
              <w:bottom w:w="0" w:type="dxa"/>
              <w:right w:w="45" w:type="dxa"/>
            </w:tcMar>
            <w:vAlign w:val="center"/>
            <w:hideMark/>
          </w:tcPr>
          <w:p w:rsidR="008238D9" w:rsidRDefault="008238D9" w:rsidP="00FF375A">
            <w:pPr>
              <w:jc w:val="both"/>
              <w:rPr>
                <w:rFonts w:ascii="Arial" w:hAnsi="Arial" w:cs="Arial"/>
                <w:color w:val="000000"/>
                <w:sz w:val="20"/>
                <w:szCs w:val="20"/>
              </w:rPr>
            </w:pPr>
            <w:r>
              <w:rPr>
                <w:rFonts w:ascii="Arial" w:hAnsi="Arial" w:cs="Arial"/>
                <w:color w:val="000000"/>
                <w:sz w:val="20"/>
                <w:szCs w:val="20"/>
              </w:rPr>
              <w:t>Reported profit before provisions and contingencies</w:t>
            </w:r>
          </w:p>
        </w:tc>
        <w:tc>
          <w:tcPr>
            <w:tcW w:w="1375"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5</w:t>
            </w:r>
          </w:p>
        </w:tc>
      </w:tr>
      <w:tr w:rsidR="008238D9" w:rsidTr="00FF375A">
        <w:trPr>
          <w:trHeight w:val="273"/>
          <w:jc w:val="center"/>
        </w:trPr>
        <w:tc>
          <w:tcPr>
            <w:tcW w:w="286"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2(b)</w:t>
            </w:r>
          </w:p>
        </w:tc>
        <w:tc>
          <w:tcPr>
            <w:tcW w:w="2390" w:type="pct"/>
            <w:tcMar>
              <w:top w:w="0" w:type="dxa"/>
              <w:left w:w="45" w:type="dxa"/>
              <w:bottom w:w="0" w:type="dxa"/>
              <w:right w:w="45" w:type="dxa"/>
            </w:tcMar>
            <w:vAlign w:val="center"/>
            <w:hideMark/>
          </w:tcPr>
          <w:p w:rsidR="008238D9" w:rsidRDefault="008238D9" w:rsidP="00FF375A">
            <w:pPr>
              <w:jc w:val="both"/>
              <w:rPr>
                <w:rFonts w:ascii="Arial" w:hAnsi="Arial" w:cs="Arial"/>
                <w:color w:val="000000"/>
                <w:sz w:val="20"/>
                <w:szCs w:val="20"/>
              </w:rPr>
            </w:pPr>
            <w:r>
              <w:rPr>
                <w:rFonts w:ascii="Arial" w:hAnsi="Arial" w:cs="Arial"/>
                <w:color w:val="000000"/>
                <w:sz w:val="20"/>
                <w:szCs w:val="20"/>
              </w:rPr>
              <w:t>Reported incremental Gross NPA</w:t>
            </w:r>
          </w:p>
        </w:tc>
        <w:tc>
          <w:tcPr>
            <w:tcW w:w="1375"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15*</w:t>
            </w:r>
          </w:p>
        </w:tc>
      </w:tr>
      <w:tr w:rsidR="008238D9" w:rsidTr="00FF375A">
        <w:trPr>
          <w:trHeight w:val="197"/>
          <w:jc w:val="center"/>
        </w:trPr>
        <w:tc>
          <w:tcPr>
            <w:tcW w:w="5000" w:type="pct"/>
            <w:gridSpan w:val="4"/>
            <w:tcMar>
              <w:top w:w="0" w:type="dxa"/>
              <w:left w:w="45" w:type="dxa"/>
              <w:bottom w:w="0" w:type="dxa"/>
              <w:right w:w="45" w:type="dxa"/>
            </w:tcMar>
            <w:vAlign w:val="center"/>
            <w:hideMark/>
          </w:tcPr>
          <w:p w:rsidR="008238D9" w:rsidRDefault="008238D9" w:rsidP="00FF375A">
            <w:pPr>
              <w:jc w:val="both"/>
              <w:rPr>
                <w:rFonts w:ascii="Arial" w:hAnsi="Arial" w:cs="Arial"/>
                <w:color w:val="000000"/>
                <w:sz w:val="20"/>
                <w:szCs w:val="20"/>
              </w:rPr>
            </w:pPr>
            <w:r>
              <w:rPr>
                <w:rFonts w:ascii="Arial" w:hAnsi="Arial" w:cs="Arial"/>
                <w:color w:val="000000"/>
                <w:sz w:val="20"/>
                <w:szCs w:val="20"/>
              </w:rPr>
              <w:t>*May be reduced subject to review</w:t>
            </w:r>
          </w:p>
        </w:tc>
      </w:tr>
    </w:tbl>
    <w:p w:rsidR="008238D9" w:rsidRDefault="008238D9" w:rsidP="008238D9">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8238D9" w:rsidRDefault="008238D9" w:rsidP="008238D9">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8238D9" w:rsidRDefault="008238D9" w:rsidP="008238D9">
      <w:pPr>
        <w:spacing w:line="259" w:lineRule="auto"/>
        <w:rPr>
          <w:rFonts w:ascii="Arial" w:hAnsi="Arial" w:cs="Arial"/>
          <w:sz w:val="20"/>
          <w:szCs w:val="20"/>
        </w:rPr>
      </w:pPr>
    </w:p>
    <w:p w:rsidR="008238D9" w:rsidRDefault="008238D9" w:rsidP="008238D9">
      <w:pPr>
        <w:spacing w:after="0"/>
      </w:pPr>
    </w:p>
    <w:p w:rsidR="008238D9" w:rsidRDefault="008238D9" w:rsidP="008238D9">
      <w:pPr>
        <w:spacing w:after="0"/>
      </w:pPr>
      <w:r>
        <w:t>More details can be referred to in the below link.</w:t>
      </w:r>
    </w:p>
    <w:p w:rsidR="008238D9" w:rsidRDefault="008238D9" w:rsidP="008238D9">
      <w:pPr>
        <w:spacing w:after="0"/>
        <w:rPr>
          <w:rStyle w:val="Hyperlink"/>
          <w:rFonts w:ascii="Arial" w:hAnsi="Arial" w:cs="Arial"/>
          <w:bCs/>
          <w:sz w:val="20"/>
          <w:szCs w:val="20"/>
        </w:rPr>
      </w:pPr>
      <w:r>
        <w:rPr>
          <w:rFonts w:ascii="Arial" w:hAnsi="Arial" w:cs="Arial"/>
          <w:bCs/>
          <w:color w:val="000000"/>
          <w:sz w:val="20"/>
          <w:szCs w:val="20"/>
        </w:rPr>
        <w:t xml:space="preserve">Reference Link: </w:t>
      </w:r>
      <w:hyperlink r:id="rId21" w:anchor=":~:text=4(e)%20of%20Annexure%20III,by%20the%20Reserve%20Bank%20of" w:history="1">
        <w:r w:rsidRPr="00735218">
          <w:rPr>
            <w:rStyle w:val="Hyperlink"/>
            <w:rFonts w:ascii="Arial" w:hAnsi="Arial" w:cs="Arial"/>
            <w:bCs/>
            <w:sz w:val="20"/>
            <w:szCs w:val="20"/>
          </w:rPr>
          <w:t>https://www.rbi.org.in/scripts/FS_Notification.aspx?Id=12401&amp;fn=2&amp;Mode=0#:~:text=4(e)%20of%20Annexure%20III,by%20the%20Reserve%20Bank%20of</w:t>
        </w:r>
      </w:hyperlink>
    </w:p>
    <w:p w:rsidR="008238D9" w:rsidRDefault="008238D9" w:rsidP="008238D9">
      <w:pPr>
        <w:spacing w:line="259" w:lineRule="auto"/>
        <w:rPr>
          <w:rFonts w:ascii="Arial" w:hAnsi="Arial" w:cs="Arial"/>
          <w:sz w:val="20"/>
          <w:szCs w:val="20"/>
        </w:rPr>
      </w:pPr>
    </w:p>
    <w:p w:rsidR="008238D9" w:rsidRDefault="008238D9" w:rsidP="008238D9">
      <w:pPr>
        <w:pStyle w:val="NormalWeb"/>
        <w:rPr>
          <w:rFonts w:ascii="Arial" w:hAnsi="Arial" w:cs="Arial"/>
          <w:b/>
          <w:bCs/>
          <w:color w:val="000000"/>
          <w:sz w:val="20"/>
          <w:szCs w:val="20"/>
        </w:rPr>
      </w:pPr>
      <w:r>
        <w:rPr>
          <w:rFonts w:ascii="Arial" w:hAnsi="Arial" w:cs="Arial"/>
          <w:b/>
          <w:bCs/>
          <w:color w:val="000000"/>
          <w:sz w:val="20"/>
          <w:szCs w:val="20"/>
        </w:rPr>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RBI/2022-23/139</w:t>
      </w:r>
      <w:r>
        <w:rPr>
          <w:rFonts w:ascii="Arial" w:hAnsi="Arial" w:cs="Arial"/>
          <w:color w:val="000000"/>
          <w:sz w:val="20"/>
          <w:szCs w:val="20"/>
        </w:rPr>
        <w:br/>
        <w:t>FIDD.CO.FSD.BC.No.13/05.02.001/2022-23</w:t>
      </w:r>
    </w:p>
    <w:p w:rsidR="008238D9" w:rsidRDefault="008238D9" w:rsidP="008238D9">
      <w:pPr>
        <w:pStyle w:val="NormalWeb"/>
        <w:jc w:val="right"/>
        <w:rPr>
          <w:rFonts w:ascii="Arial" w:hAnsi="Arial" w:cs="Arial"/>
          <w:color w:val="000000"/>
          <w:sz w:val="20"/>
          <w:szCs w:val="20"/>
        </w:rPr>
      </w:pPr>
      <w:r>
        <w:rPr>
          <w:rFonts w:ascii="Arial" w:hAnsi="Arial" w:cs="Arial"/>
          <w:color w:val="000000"/>
          <w:sz w:val="20"/>
          <w:szCs w:val="20"/>
        </w:rPr>
        <w:t>November 23, 2022</w:t>
      </w:r>
    </w:p>
    <w:p w:rsidR="008238D9" w:rsidRDefault="008238D9" w:rsidP="008238D9">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Public Sector Banks, Private Sector Banks and</w:t>
      </w:r>
      <w:r>
        <w:rPr>
          <w:rFonts w:ascii="Arial" w:hAnsi="Arial" w:cs="Arial"/>
          <w:color w:val="000000"/>
          <w:sz w:val="20"/>
          <w:szCs w:val="20"/>
        </w:rPr>
        <w:br/>
        <w:t>Small Finance Banks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Madam/Dear Sir,</w:t>
      </w:r>
    </w:p>
    <w:p w:rsidR="008238D9" w:rsidRDefault="008238D9" w:rsidP="008238D9">
      <w:pPr>
        <w:pStyle w:val="head"/>
        <w:jc w:val="both"/>
        <w:rPr>
          <w:rFonts w:ascii="Arial" w:hAnsi="Arial" w:cs="Arial"/>
          <w:b/>
          <w:bCs/>
          <w:color w:val="000000"/>
          <w:sz w:val="20"/>
          <w:szCs w:val="20"/>
        </w:rPr>
      </w:pPr>
      <w:r>
        <w:rPr>
          <w:rFonts w:ascii="Arial" w:hAnsi="Arial" w:cs="Arial"/>
          <w:b/>
          <w:bCs/>
          <w:color w:val="000000"/>
          <w:sz w:val="20"/>
          <w:szCs w:val="20"/>
        </w:rPr>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22" w:tgtFrame="_blank" w:history="1">
        <w:r>
          <w:rPr>
            <w:rStyle w:val="Hyperlink"/>
            <w:rFonts w:ascii="Arial" w:hAnsi="Arial" w:cs="Arial"/>
            <w:sz w:val="20"/>
            <w:szCs w:val="20"/>
          </w:rPr>
          <w:t>circular FIDD.CO.FSD.BC.No.3/05.02.001/2022-23 dated April 28, 2022</w:t>
        </w:r>
      </w:hyperlink>
      <w:r>
        <w:rPr>
          <w:rFonts w:ascii="Arial" w:hAnsi="Arial" w:cs="Arial"/>
          <w:color w:val="000000"/>
          <w:sz w:val="20"/>
          <w:szCs w:val="20"/>
        </w:rPr>
        <w:t> conveying the decision of the Government of India for continuation of the Modified Interest Subvention Scheme for short term loans for agriculture and allied activities for the year 2021-22.</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2. In this regard, it is advised that Government of India has approved the continuation of the Interest Subvention Scheme (ISS) with modification for the financial years 2022-23 and 2023-24 with the following stipulations: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 xml:space="preserve">(i) In order to provide short term crop loans and short term loans for allied activities including animal husbandry, dairy, fisheries, bee keeping etc.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an overall limit of ₹3 lakh to farmers through KCC at concessional interest rate during the years 2022-23 and 2023-24, it has been decided to provide interest subvention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will be calculated on the loan amount from the date of disbursement/</w:t>
      </w:r>
      <w:proofErr w:type="spellStart"/>
      <w:r>
        <w:rPr>
          <w:rFonts w:ascii="Arial" w:hAnsi="Arial" w:cs="Arial"/>
          <w:color w:val="000000"/>
          <w:sz w:val="20"/>
          <w:szCs w:val="20"/>
        </w:rPr>
        <w:t>drawal</w:t>
      </w:r>
      <w:proofErr w:type="spellEnd"/>
      <w:r>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years 2022-23 and 2023-24 will be as follows:</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2408"/>
        <w:gridCol w:w="4943"/>
      </w:tblGrid>
      <w:tr w:rsidR="008238D9" w:rsidTr="00FF375A">
        <w:trPr>
          <w:trHeight w:val="418"/>
          <w:jc w:val="center"/>
        </w:trPr>
        <w:tc>
          <w:tcPr>
            <w:tcW w:w="873" w:type="pct"/>
            <w:tcMar>
              <w:top w:w="0" w:type="dxa"/>
              <w:left w:w="45" w:type="dxa"/>
              <w:bottom w:w="0" w:type="dxa"/>
              <w:right w:w="45" w:type="dxa"/>
            </w:tcMar>
            <w:vAlign w:val="center"/>
            <w:hideMark/>
          </w:tcPr>
          <w:p w:rsidR="008238D9" w:rsidRDefault="008238D9" w:rsidP="00FF375A">
            <w:pPr>
              <w:jc w:val="center"/>
              <w:rPr>
                <w:rFonts w:ascii="Arial" w:hAnsi="Arial" w:cs="Arial"/>
                <w:b/>
                <w:bCs/>
                <w:color w:val="000000"/>
                <w:sz w:val="20"/>
                <w:szCs w:val="20"/>
              </w:rPr>
            </w:pPr>
            <w:r>
              <w:rPr>
                <w:rFonts w:ascii="Arial" w:hAnsi="Arial" w:cs="Arial"/>
                <w:b/>
                <w:bCs/>
                <w:color w:val="000000"/>
                <w:sz w:val="20"/>
                <w:szCs w:val="20"/>
              </w:rPr>
              <w:t>Financial Year</w:t>
            </w:r>
          </w:p>
        </w:tc>
        <w:tc>
          <w:tcPr>
            <w:tcW w:w="1352" w:type="pct"/>
            <w:tcMar>
              <w:top w:w="0" w:type="dxa"/>
              <w:left w:w="45" w:type="dxa"/>
              <w:bottom w:w="0" w:type="dxa"/>
              <w:right w:w="45" w:type="dxa"/>
            </w:tcMar>
            <w:vAlign w:val="center"/>
            <w:hideMark/>
          </w:tcPr>
          <w:p w:rsidR="008238D9" w:rsidRDefault="008238D9" w:rsidP="00FF375A">
            <w:pPr>
              <w:jc w:val="center"/>
              <w:rPr>
                <w:rFonts w:ascii="Arial" w:hAnsi="Arial" w:cs="Arial"/>
                <w:b/>
                <w:bCs/>
                <w:color w:val="000000"/>
                <w:sz w:val="20"/>
                <w:szCs w:val="20"/>
              </w:rPr>
            </w:pPr>
            <w:r>
              <w:rPr>
                <w:rFonts w:ascii="Arial" w:hAnsi="Arial" w:cs="Arial"/>
                <w:b/>
                <w:bCs/>
                <w:color w:val="000000"/>
                <w:sz w:val="20"/>
                <w:szCs w:val="20"/>
              </w:rPr>
              <w:t>Lending rate to farmers</w:t>
            </w:r>
          </w:p>
        </w:tc>
        <w:tc>
          <w:tcPr>
            <w:tcW w:w="2775" w:type="pct"/>
            <w:tcMar>
              <w:top w:w="0" w:type="dxa"/>
              <w:left w:w="45" w:type="dxa"/>
              <w:bottom w:w="0" w:type="dxa"/>
              <w:right w:w="45" w:type="dxa"/>
            </w:tcMar>
            <w:vAlign w:val="center"/>
            <w:hideMark/>
          </w:tcPr>
          <w:p w:rsidR="008238D9" w:rsidRDefault="008238D9" w:rsidP="00FF375A">
            <w:pPr>
              <w:jc w:val="center"/>
              <w:rPr>
                <w:rFonts w:ascii="Arial" w:hAnsi="Arial" w:cs="Arial"/>
                <w:b/>
                <w:bCs/>
                <w:color w:val="000000"/>
                <w:sz w:val="20"/>
                <w:szCs w:val="20"/>
              </w:rPr>
            </w:pPr>
            <w:r>
              <w:rPr>
                <w:rFonts w:ascii="Arial" w:hAnsi="Arial" w:cs="Arial"/>
                <w:b/>
                <w:bCs/>
                <w:color w:val="000000"/>
                <w:sz w:val="20"/>
                <w:szCs w:val="20"/>
              </w:rPr>
              <w:t>Rate of Interest Subvention to Lending Institutions</w:t>
            </w:r>
          </w:p>
        </w:tc>
      </w:tr>
      <w:tr w:rsidR="008238D9" w:rsidTr="00FF375A">
        <w:trPr>
          <w:trHeight w:val="141"/>
          <w:jc w:val="center"/>
        </w:trPr>
        <w:tc>
          <w:tcPr>
            <w:tcW w:w="873"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2022-23</w:t>
            </w:r>
          </w:p>
        </w:tc>
        <w:tc>
          <w:tcPr>
            <w:tcW w:w="1352"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1.50%</w:t>
            </w:r>
          </w:p>
        </w:tc>
      </w:tr>
      <w:tr w:rsidR="008238D9" w:rsidTr="00FF375A">
        <w:trPr>
          <w:trHeight w:val="202"/>
          <w:jc w:val="center"/>
        </w:trPr>
        <w:tc>
          <w:tcPr>
            <w:tcW w:w="873"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2023-24</w:t>
            </w:r>
          </w:p>
        </w:tc>
        <w:tc>
          <w:tcPr>
            <w:tcW w:w="1352"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8238D9" w:rsidRDefault="008238D9" w:rsidP="00FF375A">
            <w:pPr>
              <w:jc w:val="center"/>
              <w:rPr>
                <w:rFonts w:ascii="Arial" w:hAnsi="Arial" w:cs="Arial"/>
                <w:color w:val="000000"/>
                <w:sz w:val="20"/>
                <w:szCs w:val="20"/>
              </w:rPr>
            </w:pPr>
            <w:r>
              <w:rPr>
                <w:rFonts w:ascii="Arial" w:hAnsi="Arial" w:cs="Arial"/>
                <w:color w:val="000000"/>
                <w:sz w:val="20"/>
                <w:szCs w:val="20"/>
              </w:rPr>
              <w:t>1.50%</w:t>
            </w:r>
          </w:p>
        </w:tc>
      </w:tr>
    </w:tbl>
    <w:p w:rsidR="008238D9" w:rsidRDefault="008238D9" w:rsidP="008238D9">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8238D9" w:rsidRDefault="008238D9" w:rsidP="008238D9">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8238D9" w:rsidRDefault="008238D9" w:rsidP="008238D9">
      <w:pPr>
        <w:pStyle w:val="NormalWeb"/>
        <w:rPr>
          <w:rFonts w:ascii="Arial" w:hAnsi="Arial" w:cs="Arial"/>
          <w:b/>
          <w:color w:val="000000"/>
          <w:sz w:val="20"/>
          <w:szCs w:val="20"/>
        </w:rPr>
      </w:pPr>
      <w:bookmarkStart w:id="0" w:name="_GoBack"/>
      <w:bookmarkEnd w:id="0"/>
    </w:p>
    <w:p w:rsidR="008238D9" w:rsidRDefault="008238D9" w:rsidP="008238D9">
      <w:r>
        <w:t>More details can be referred to in the below link.</w:t>
      </w:r>
    </w:p>
    <w:p w:rsidR="008238D9" w:rsidRDefault="008238D9" w:rsidP="008238D9">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23" w:history="1">
        <w:r w:rsidRPr="006865D6">
          <w:rPr>
            <w:rStyle w:val="Hyperlink"/>
            <w:rFonts w:ascii="Arial" w:hAnsi="Arial" w:cs="Arial"/>
            <w:bCs/>
            <w:sz w:val="20"/>
            <w:szCs w:val="20"/>
          </w:rPr>
          <w:t>https://www.rbi.org.in/scripts/NotificationUser.aspx?Id=12411&amp;Mode=0</w:t>
        </w:r>
      </w:hyperlink>
    </w:p>
    <w:p w:rsidR="008238D9" w:rsidRDefault="008238D9" w:rsidP="008238D9">
      <w:pPr>
        <w:pStyle w:val="NormalWeb"/>
        <w:rPr>
          <w:rFonts w:ascii="Arial" w:hAnsi="Arial" w:cs="Arial"/>
          <w:b/>
          <w:bCs/>
          <w:color w:val="000000"/>
          <w:sz w:val="20"/>
          <w:szCs w:val="20"/>
        </w:rPr>
      </w:pPr>
      <w:r>
        <w:rPr>
          <w:rFonts w:ascii="Arial" w:hAnsi="Arial" w:cs="Arial"/>
          <w:b/>
          <w:bCs/>
          <w:color w:val="000000"/>
          <w:sz w:val="20"/>
          <w:szCs w:val="20"/>
        </w:rPr>
        <w:lastRenderedPageBreak/>
        <w:t>Inclusion of Goods and Service Tax Network (GSTN) as a Financial Information Provider under Account Aggregator Framework</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RBI/2022-23/140</w:t>
      </w:r>
      <w:r>
        <w:rPr>
          <w:rFonts w:ascii="Arial" w:hAnsi="Arial" w:cs="Arial"/>
          <w:color w:val="000000"/>
          <w:sz w:val="20"/>
          <w:szCs w:val="20"/>
        </w:rPr>
        <w:br/>
        <w:t>DoR.FIN.REC.82/03.10.123/2022-23</w:t>
      </w:r>
    </w:p>
    <w:p w:rsidR="008238D9" w:rsidRDefault="008238D9" w:rsidP="008238D9">
      <w:pPr>
        <w:pStyle w:val="NormalWeb"/>
        <w:jc w:val="right"/>
        <w:rPr>
          <w:rFonts w:ascii="Arial" w:hAnsi="Arial" w:cs="Arial"/>
          <w:color w:val="000000"/>
          <w:sz w:val="20"/>
          <w:szCs w:val="20"/>
        </w:rPr>
      </w:pPr>
      <w:r>
        <w:rPr>
          <w:rFonts w:ascii="Arial" w:hAnsi="Arial" w:cs="Arial"/>
          <w:color w:val="000000"/>
          <w:sz w:val="20"/>
          <w:szCs w:val="20"/>
        </w:rPr>
        <w:t>November 23, 2022</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To All Regulated Entities of the Bank</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Madam/Dear Sir,</w:t>
      </w:r>
    </w:p>
    <w:p w:rsidR="008238D9" w:rsidRDefault="008238D9" w:rsidP="008238D9">
      <w:pPr>
        <w:pStyle w:val="head"/>
        <w:jc w:val="both"/>
        <w:rPr>
          <w:rFonts w:ascii="Arial" w:hAnsi="Arial" w:cs="Arial"/>
          <w:b/>
          <w:bCs/>
          <w:color w:val="000000"/>
          <w:sz w:val="20"/>
          <w:szCs w:val="20"/>
        </w:rPr>
      </w:pPr>
      <w:r>
        <w:rPr>
          <w:rFonts w:ascii="Arial" w:hAnsi="Arial" w:cs="Arial"/>
          <w:b/>
          <w:bCs/>
          <w:color w:val="000000"/>
          <w:sz w:val="20"/>
          <w:szCs w:val="20"/>
        </w:rPr>
        <w:t>Inclusion of Goods and Service Tax Network (GSTN) as a Financial Information Provider under Account Aggregator Framework</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4" w:tgtFrame="_blank" w:history="1">
        <w:r>
          <w:rPr>
            <w:rStyle w:val="Hyperlink"/>
            <w:rFonts w:ascii="Arial" w:hAnsi="Arial" w:cs="Arial"/>
            <w:sz w:val="20"/>
            <w:szCs w:val="20"/>
          </w:rPr>
          <w:t>Master Direction – Non-Banking Financial Company - Account Aggregator (Reserve Bank) Directions, 2016 dated September 02, 2016</w:t>
        </w:r>
      </w:hyperlink>
      <w:r>
        <w:rPr>
          <w:rFonts w:ascii="Arial" w:hAnsi="Arial" w:cs="Arial"/>
          <w:color w:val="000000"/>
          <w:sz w:val="20"/>
          <w:szCs w:val="20"/>
        </w:rPr>
        <w:t>.</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2. With a view to facilitate cash flow-based lending to MSMEs, it has been decided to include Goods and Services Tax Network (GSTN) as a Financial Information Provider (FIP) under the Account Aggregator (AA) framework. Department of Revenue shall be the regulator of GSTN for this specific purpose and Goods and Services Tax (GST) Returns, viz. Form GSTR-1 and Form GSTR-3B, shall be the Financial Information.</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3. Accordingly, the select instructions contained in the Master Direction referred to above have been amended, as detailed in the </w:t>
      </w:r>
      <w:hyperlink r:id="rId25" w:anchor="AN1" w:history="1">
        <w:r>
          <w:rPr>
            <w:rStyle w:val="Hyperlink"/>
            <w:rFonts w:ascii="Arial" w:hAnsi="Arial" w:cs="Arial"/>
            <w:sz w:val="20"/>
            <w:szCs w:val="20"/>
          </w:rPr>
          <w:t>Annex</w:t>
        </w:r>
      </w:hyperlink>
      <w:r>
        <w:rPr>
          <w:rFonts w:ascii="Arial" w:hAnsi="Arial" w:cs="Arial"/>
          <w:color w:val="000000"/>
          <w:sz w:val="20"/>
          <w:szCs w:val="20"/>
        </w:rPr>
        <w:t>.</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Yours faithfully,</w:t>
      </w:r>
    </w:p>
    <w:p w:rsidR="008238D9" w:rsidRDefault="008238D9" w:rsidP="008238D9">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8238D9" w:rsidRDefault="008238D9" w:rsidP="008238D9">
      <w:pPr>
        <w:pStyle w:val="NormalWeb"/>
        <w:rPr>
          <w:rFonts w:ascii="Arial" w:hAnsi="Arial" w:cs="Arial"/>
          <w:b/>
          <w:color w:val="000000"/>
          <w:sz w:val="20"/>
          <w:szCs w:val="20"/>
        </w:rPr>
      </w:pPr>
    </w:p>
    <w:p w:rsidR="008238D9" w:rsidRDefault="008238D9" w:rsidP="008238D9"/>
    <w:p w:rsidR="008238D9" w:rsidRDefault="008238D9" w:rsidP="008238D9">
      <w:r>
        <w:t>More details can be referred to in the below link.</w:t>
      </w:r>
    </w:p>
    <w:p w:rsidR="008238D9" w:rsidRDefault="008238D9" w:rsidP="008238D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6" w:history="1">
        <w:r w:rsidRPr="006865D6">
          <w:rPr>
            <w:rStyle w:val="Hyperlink"/>
            <w:rFonts w:ascii="Arial" w:hAnsi="Arial" w:cs="Arial"/>
            <w:bCs/>
            <w:sz w:val="20"/>
            <w:szCs w:val="20"/>
          </w:rPr>
          <w:t>https://www.rbi.org.in/scripts/NotificationUser.aspx?Id=12412&amp;Mode=0</w:t>
        </w:r>
      </w:hyperlink>
    </w:p>
    <w:p w:rsidR="008238D9" w:rsidRDefault="008238D9" w:rsidP="008238D9">
      <w:pPr>
        <w:pStyle w:val="NormalWeb"/>
        <w:rPr>
          <w:rFonts w:ascii="Arial" w:hAnsi="Arial" w:cs="Arial"/>
          <w:bCs/>
          <w:color w:val="000000"/>
          <w:sz w:val="20"/>
          <w:szCs w:val="20"/>
        </w:rPr>
      </w:pPr>
    </w:p>
    <w:p w:rsidR="008238D9" w:rsidRDefault="008238D9" w:rsidP="008238D9">
      <w:pPr>
        <w:pStyle w:val="NormalWeb"/>
        <w:rPr>
          <w:rFonts w:ascii="Arial" w:hAnsi="Arial" w:cs="Arial"/>
          <w:bCs/>
          <w:color w:val="000000"/>
          <w:sz w:val="20"/>
          <w:szCs w:val="20"/>
        </w:rPr>
      </w:pPr>
    </w:p>
    <w:p w:rsidR="008238D9" w:rsidRDefault="008238D9" w:rsidP="008238D9">
      <w:pPr>
        <w:pStyle w:val="NormalWeb"/>
        <w:rPr>
          <w:rFonts w:ascii="Arial" w:hAnsi="Arial" w:cs="Arial"/>
          <w:bCs/>
          <w:color w:val="000000"/>
          <w:sz w:val="20"/>
          <w:szCs w:val="20"/>
        </w:rPr>
      </w:pPr>
    </w:p>
    <w:p w:rsidR="008238D9" w:rsidRDefault="008238D9" w:rsidP="008238D9">
      <w:pPr>
        <w:pStyle w:val="NormalWeb"/>
        <w:rPr>
          <w:rFonts w:ascii="Arial" w:hAnsi="Arial" w:cs="Arial"/>
          <w:bCs/>
          <w:color w:val="000000"/>
          <w:sz w:val="20"/>
          <w:szCs w:val="20"/>
        </w:rPr>
      </w:pPr>
    </w:p>
    <w:p w:rsidR="008238D9" w:rsidRDefault="008238D9" w:rsidP="008238D9">
      <w:pPr>
        <w:pStyle w:val="NormalWeb"/>
        <w:rPr>
          <w:rFonts w:ascii="Arial" w:hAnsi="Arial" w:cs="Arial"/>
          <w:bCs/>
          <w:color w:val="000000"/>
          <w:sz w:val="20"/>
          <w:szCs w:val="20"/>
        </w:rPr>
      </w:pPr>
    </w:p>
    <w:p w:rsidR="008238D9" w:rsidRDefault="008238D9" w:rsidP="008238D9">
      <w:pPr>
        <w:pStyle w:val="NormalWeb"/>
        <w:rPr>
          <w:rFonts w:ascii="Arial" w:hAnsi="Arial" w:cs="Arial"/>
          <w:bCs/>
          <w:color w:val="000000"/>
          <w:sz w:val="20"/>
          <w:szCs w:val="20"/>
        </w:rPr>
      </w:pPr>
    </w:p>
    <w:p w:rsidR="008238D9" w:rsidRDefault="008238D9" w:rsidP="008238D9">
      <w:pPr>
        <w:pStyle w:val="NormalWeb"/>
        <w:rPr>
          <w:rFonts w:ascii="Arial" w:hAnsi="Arial" w:cs="Arial"/>
          <w:bCs/>
          <w:color w:val="000000"/>
          <w:sz w:val="20"/>
          <w:szCs w:val="20"/>
        </w:rPr>
      </w:pPr>
    </w:p>
    <w:p w:rsidR="008238D9" w:rsidRDefault="008238D9" w:rsidP="008238D9">
      <w:pPr>
        <w:spacing w:line="259" w:lineRule="auto"/>
        <w:rPr>
          <w:rFonts w:ascii="Arial" w:hAnsi="Arial" w:cs="Arial"/>
          <w:sz w:val="20"/>
          <w:szCs w:val="20"/>
        </w:rPr>
      </w:pPr>
    </w:p>
    <w:p w:rsidR="008238D9" w:rsidRDefault="008238D9" w:rsidP="008238D9">
      <w:pPr>
        <w:spacing w:after="0"/>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 and other Regulatory Measures</w:t>
      </w:r>
    </w:p>
    <w:p w:rsidR="008238D9" w:rsidRDefault="008238D9" w:rsidP="008238D9">
      <w:pPr>
        <w:spacing w:after="0"/>
        <w:rPr>
          <w:rFonts w:ascii="Arial" w:hAnsi="Arial" w:cs="Arial"/>
          <w:b/>
          <w:bCs/>
          <w:color w:val="000000"/>
          <w:sz w:val="20"/>
          <w:szCs w:val="20"/>
        </w:rPr>
      </w:pP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RBI/2022-23/154</w:t>
      </w:r>
      <w:r>
        <w:rPr>
          <w:rFonts w:ascii="Arial" w:hAnsi="Arial" w:cs="Arial"/>
          <w:color w:val="000000"/>
          <w:sz w:val="20"/>
          <w:szCs w:val="20"/>
        </w:rPr>
        <w:br/>
        <w:t>DoR.FIN.REC.90/20.16.056/2022-23</w:t>
      </w:r>
    </w:p>
    <w:p w:rsidR="008238D9" w:rsidRDefault="008238D9" w:rsidP="008238D9">
      <w:pPr>
        <w:pStyle w:val="NormalWeb"/>
        <w:jc w:val="right"/>
        <w:rPr>
          <w:rFonts w:ascii="Arial" w:hAnsi="Arial" w:cs="Arial"/>
          <w:color w:val="000000"/>
          <w:sz w:val="20"/>
          <w:szCs w:val="20"/>
        </w:rPr>
      </w:pPr>
      <w:r>
        <w:rPr>
          <w:rFonts w:ascii="Arial" w:hAnsi="Arial" w:cs="Arial"/>
          <w:color w:val="000000"/>
          <w:sz w:val="20"/>
          <w:szCs w:val="20"/>
        </w:rPr>
        <w:t>December 13, 2022</w:t>
      </w:r>
    </w:p>
    <w:p w:rsidR="008238D9" w:rsidRDefault="008238D9" w:rsidP="008238D9">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Banks/District Central Co-operative Banks</w:t>
      </w:r>
      <w:r>
        <w:rPr>
          <w:rFonts w:ascii="Arial" w:hAnsi="Arial" w:cs="Arial"/>
          <w:color w:val="000000"/>
          <w:sz w:val="20"/>
          <w:szCs w:val="20"/>
        </w:rPr>
        <w:br/>
        <w:t xml:space="preserve">All-India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Credit Information Companies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Madam/Dear Sir,</w:t>
      </w:r>
    </w:p>
    <w:p w:rsidR="008238D9" w:rsidRDefault="008238D9" w:rsidP="008238D9">
      <w:pPr>
        <w:pStyle w:val="head"/>
        <w:jc w:val="both"/>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 and other Regulatory Measures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7" w:tgtFrame="_blank" w:history="1">
        <w:r>
          <w:rPr>
            <w:rStyle w:val="Hyperlink"/>
            <w:rFonts w:ascii="Arial" w:hAnsi="Arial" w:cs="Arial"/>
            <w:sz w:val="20"/>
            <w:szCs w:val="20"/>
          </w:rPr>
          <w:t>circular DBOD.No.CID.BC.127/20.16.056/2013-14 dated June 27, 2014</w:t>
        </w:r>
      </w:hyperlink>
      <w:r>
        <w:rPr>
          <w:rFonts w:ascii="Arial" w:hAnsi="Arial" w:cs="Arial"/>
          <w:color w:val="000000"/>
          <w:sz w:val="20"/>
          <w:szCs w:val="20"/>
        </w:rPr>
        <w:t>, inter alia setting out a Uniform Credit Reporting Format for reporting credit information to the Credit Information Companies (CICs).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2. It is clarified that cases admitted with National Company Law Tribunal (NCLT)/National Company Law Appellate Tribunal (NCLAT) under the Insolvency and Bankruptcy Code, 2016 are also required to be reported under the suit-filed cases in reporting to the CICs.</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3. Credit Institutions (CIs) shall ensure implementation of this circular latest by February 28, 2023.</w:t>
      </w:r>
    </w:p>
    <w:p w:rsidR="008238D9" w:rsidRDefault="008238D9" w:rsidP="008238D9">
      <w:pPr>
        <w:pStyle w:val="NormalWeb"/>
        <w:jc w:val="both"/>
        <w:rPr>
          <w:rFonts w:ascii="Arial" w:hAnsi="Arial" w:cs="Arial"/>
          <w:color w:val="000000"/>
          <w:sz w:val="20"/>
          <w:szCs w:val="20"/>
        </w:rPr>
      </w:pPr>
      <w:r>
        <w:rPr>
          <w:rFonts w:ascii="Arial" w:hAnsi="Arial" w:cs="Arial"/>
          <w:color w:val="000000"/>
          <w:sz w:val="20"/>
          <w:szCs w:val="20"/>
        </w:rPr>
        <w:t>Yours faithfully</w:t>
      </w:r>
    </w:p>
    <w:p w:rsidR="008238D9" w:rsidRDefault="008238D9" w:rsidP="008238D9">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8238D9" w:rsidRDefault="008238D9" w:rsidP="008238D9">
      <w:pPr>
        <w:spacing w:after="0"/>
        <w:rPr>
          <w:rFonts w:ascii="Arial" w:hAnsi="Arial" w:cs="Arial"/>
          <w:sz w:val="20"/>
          <w:szCs w:val="20"/>
        </w:rPr>
      </w:pPr>
    </w:p>
    <w:p w:rsidR="008238D9" w:rsidRDefault="008238D9" w:rsidP="008238D9">
      <w:pPr>
        <w:spacing w:after="0"/>
        <w:rPr>
          <w:rFonts w:ascii="Arial" w:hAnsi="Arial" w:cs="Arial"/>
          <w:sz w:val="20"/>
          <w:szCs w:val="20"/>
        </w:rPr>
      </w:pPr>
    </w:p>
    <w:p w:rsidR="008238D9" w:rsidRDefault="008238D9" w:rsidP="008238D9">
      <w:pPr>
        <w:spacing w:after="0"/>
        <w:rPr>
          <w:rFonts w:ascii="Arial" w:hAnsi="Arial" w:cs="Arial"/>
          <w:sz w:val="20"/>
          <w:szCs w:val="20"/>
        </w:rPr>
      </w:pPr>
    </w:p>
    <w:p w:rsidR="008238D9" w:rsidRDefault="008238D9" w:rsidP="008238D9">
      <w:pPr>
        <w:spacing w:after="0"/>
        <w:rPr>
          <w:rFonts w:ascii="Arial" w:hAnsi="Arial" w:cs="Arial"/>
          <w:sz w:val="20"/>
          <w:szCs w:val="20"/>
        </w:rPr>
      </w:pPr>
      <w:r w:rsidRPr="00435B25">
        <w:rPr>
          <w:rFonts w:ascii="Arial" w:hAnsi="Arial" w:cs="Arial"/>
          <w:sz w:val="20"/>
          <w:szCs w:val="20"/>
        </w:rPr>
        <w:t>More details can be referred to in the below link.</w:t>
      </w:r>
    </w:p>
    <w:p w:rsidR="008238D9" w:rsidRDefault="008238D9" w:rsidP="008238D9">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28" w:history="1">
        <w:r w:rsidRPr="006865D6">
          <w:rPr>
            <w:rStyle w:val="Hyperlink"/>
            <w:rFonts w:ascii="Arial" w:hAnsi="Arial" w:cs="Arial"/>
            <w:sz w:val="20"/>
            <w:szCs w:val="20"/>
          </w:rPr>
          <w:t>https://m.rbi.org.in/scripts/BS_CircularIndexDisplay.aspx?Id=12425</w:t>
        </w:r>
      </w:hyperlink>
    </w:p>
    <w:p w:rsidR="008238D9" w:rsidRDefault="008238D9" w:rsidP="008238D9">
      <w:pPr>
        <w:spacing w:line="259" w:lineRule="auto"/>
        <w:rPr>
          <w:rFonts w:ascii="Arial" w:hAnsi="Arial" w:cs="Arial"/>
          <w:b/>
          <w:bCs/>
          <w:color w:val="000000"/>
          <w:sz w:val="20"/>
          <w:szCs w:val="20"/>
        </w:rPr>
      </w:pPr>
    </w:p>
    <w:p w:rsidR="008238D9" w:rsidRDefault="008238D9" w:rsidP="008238D9">
      <w:pPr>
        <w:spacing w:line="259" w:lineRule="auto"/>
        <w:rPr>
          <w:rFonts w:ascii="Arial" w:hAnsi="Arial" w:cs="Arial"/>
          <w:b/>
          <w:bCs/>
          <w:color w:val="000000"/>
          <w:sz w:val="20"/>
          <w:szCs w:val="20"/>
        </w:rPr>
      </w:pPr>
    </w:p>
    <w:p w:rsidR="008238D9" w:rsidRDefault="008238D9" w:rsidP="008238D9">
      <w:pPr>
        <w:spacing w:line="259" w:lineRule="auto"/>
        <w:rPr>
          <w:rFonts w:ascii="Arial" w:hAnsi="Arial" w:cs="Arial"/>
          <w:b/>
          <w:bCs/>
          <w:color w:val="000000"/>
          <w:sz w:val="20"/>
          <w:szCs w:val="20"/>
        </w:rPr>
      </w:pPr>
    </w:p>
    <w:p w:rsidR="008238D9" w:rsidRDefault="008238D9" w:rsidP="008238D9">
      <w:pPr>
        <w:spacing w:line="259" w:lineRule="auto"/>
        <w:rPr>
          <w:rFonts w:ascii="Arial" w:hAnsi="Arial" w:cs="Arial"/>
          <w:b/>
          <w:bCs/>
          <w:color w:val="000000"/>
          <w:sz w:val="20"/>
          <w:szCs w:val="20"/>
        </w:rPr>
      </w:pPr>
    </w:p>
    <w:p w:rsidR="008238D9" w:rsidRDefault="008238D9" w:rsidP="008238D9">
      <w:pPr>
        <w:spacing w:line="259" w:lineRule="auto"/>
        <w:rPr>
          <w:rFonts w:ascii="Arial" w:hAnsi="Arial" w:cs="Arial"/>
          <w:b/>
          <w:bCs/>
          <w:color w:val="000000"/>
          <w:sz w:val="20"/>
          <w:szCs w:val="20"/>
        </w:rPr>
      </w:pPr>
    </w:p>
    <w:p w:rsidR="008238D9" w:rsidRDefault="008238D9" w:rsidP="008238D9">
      <w:pPr>
        <w:spacing w:line="259" w:lineRule="auto"/>
        <w:rPr>
          <w:rFonts w:ascii="Arial" w:hAnsi="Arial" w:cs="Arial"/>
          <w:sz w:val="20"/>
          <w:szCs w:val="20"/>
        </w:rPr>
      </w:pPr>
    </w:p>
    <w:sectPr w:rsidR="00823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AB1"/>
    <w:multiLevelType w:val="multilevel"/>
    <w:tmpl w:val="3684EE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61F68F3"/>
    <w:multiLevelType w:val="multilevel"/>
    <w:tmpl w:val="20389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9D33C14"/>
    <w:multiLevelType w:val="multilevel"/>
    <w:tmpl w:val="3B1E55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109580A"/>
    <w:multiLevelType w:val="multilevel"/>
    <w:tmpl w:val="9086F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C79498A"/>
    <w:multiLevelType w:val="multilevel"/>
    <w:tmpl w:val="EF842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2"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63D114ED"/>
    <w:multiLevelType w:val="multilevel"/>
    <w:tmpl w:val="12361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B077D3E"/>
    <w:multiLevelType w:val="multilevel"/>
    <w:tmpl w:val="18D60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1"/>
  </w:num>
  <w:num w:numId="7">
    <w:abstractNumId w:val="25"/>
  </w:num>
  <w:num w:numId="8">
    <w:abstractNumId w:val="2"/>
  </w:num>
  <w:num w:numId="9">
    <w:abstractNumId w:val="1"/>
  </w:num>
  <w:num w:numId="10">
    <w:abstractNumId w:val="19"/>
  </w:num>
  <w:num w:numId="11">
    <w:abstractNumId w:val="16"/>
  </w:num>
  <w:num w:numId="12">
    <w:abstractNumId w:val="3"/>
  </w:num>
  <w:num w:numId="13">
    <w:abstractNumId w:val="14"/>
  </w:num>
  <w:num w:numId="14">
    <w:abstractNumId w:val="24"/>
  </w:num>
  <w:num w:numId="15">
    <w:abstractNumId w:val="34"/>
  </w:num>
  <w:num w:numId="16">
    <w:abstractNumId w:val="5"/>
  </w:num>
  <w:num w:numId="17">
    <w:abstractNumId w:val="21"/>
  </w:num>
  <w:num w:numId="18">
    <w:abstractNumId w:val="13"/>
  </w:num>
  <w:num w:numId="19">
    <w:abstractNumId w:val="12"/>
  </w:num>
  <w:num w:numId="20">
    <w:abstractNumId w:val="20"/>
  </w:num>
  <w:num w:numId="21">
    <w:abstractNumId w:val="11"/>
  </w:num>
  <w:num w:numId="22">
    <w:abstractNumId w:val="29"/>
  </w:num>
  <w:num w:numId="23">
    <w:abstractNumId w:val="9"/>
  </w:num>
  <w:num w:numId="24">
    <w:abstractNumId w:val="18"/>
  </w:num>
  <w:num w:numId="25">
    <w:abstractNumId w:val="7"/>
  </w:num>
  <w:num w:numId="26">
    <w:abstractNumId w:val="26"/>
  </w:num>
  <w:num w:numId="27">
    <w:abstractNumId w:val="6"/>
  </w:num>
  <w:num w:numId="28">
    <w:abstractNumId w:val="23"/>
  </w:num>
  <w:num w:numId="29">
    <w:abstractNumId w:val="10"/>
  </w:num>
  <w:num w:numId="30">
    <w:abstractNumId w:val="30"/>
  </w:num>
  <w:num w:numId="31">
    <w:abstractNumId w:val="33"/>
  </w:num>
  <w:num w:numId="32">
    <w:abstractNumId w:val="17"/>
  </w:num>
  <w:num w:numId="33">
    <w:abstractNumId w:val="8"/>
  </w:num>
  <w:num w:numId="34">
    <w:abstractNumId w:val="4"/>
  </w:num>
  <w:num w:numId="35">
    <w:abstractNumId w:val="35"/>
  </w:num>
  <w:num w:numId="36">
    <w:abstractNumId w:val="15"/>
  </w:num>
  <w:num w:numId="37">
    <w:abstractNumId w:val="3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B4DC2"/>
    <w:rsid w:val="000F6CB6"/>
    <w:rsid w:val="00121B22"/>
    <w:rsid w:val="00147837"/>
    <w:rsid w:val="00155008"/>
    <w:rsid w:val="00166E3C"/>
    <w:rsid w:val="001B0D06"/>
    <w:rsid w:val="001E7AD4"/>
    <w:rsid w:val="001F219E"/>
    <w:rsid w:val="00213882"/>
    <w:rsid w:val="00230EAC"/>
    <w:rsid w:val="002313C4"/>
    <w:rsid w:val="00245B30"/>
    <w:rsid w:val="002A3764"/>
    <w:rsid w:val="002C55B6"/>
    <w:rsid w:val="00356598"/>
    <w:rsid w:val="00435B25"/>
    <w:rsid w:val="00436D36"/>
    <w:rsid w:val="0045114B"/>
    <w:rsid w:val="00494F1F"/>
    <w:rsid w:val="004D6B44"/>
    <w:rsid w:val="004E718A"/>
    <w:rsid w:val="005748AD"/>
    <w:rsid w:val="00581BDE"/>
    <w:rsid w:val="00583041"/>
    <w:rsid w:val="005A38FC"/>
    <w:rsid w:val="005D5DB2"/>
    <w:rsid w:val="00642494"/>
    <w:rsid w:val="00645D84"/>
    <w:rsid w:val="0068363E"/>
    <w:rsid w:val="006C5648"/>
    <w:rsid w:val="00706A14"/>
    <w:rsid w:val="00744532"/>
    <w:rsid w:val="008014DB"/>
    <w:rsid w:val="008238D9"/>
    <w:rsid w:val="008462A3"/>
    <w:rsid w:val="0085415B"/>
    <w:rsid w:val="00911528"/>
    <w:rsid w:val="00912551"/>
    <w:rsid w:val="009126BF"/>
    <w:rsid w:val="009B54D0"/>
    <w:rsid w:val="009F305B"/>
    <w:rsid w:val="00A32EAB"/>
    <w:rsid w:val="00A410BB"/>
    <w:rsid w:val="00A76041"/>
    <w:rsid w:val="00A850CE"/>
    <w:rsid w:val="00B1420D"/>
    <w:rsid w:val="00B46998"/>
    <w:rsid w:val="00B71788"/>
    <w:rsid w:val="00BF2165"/>
    <w:rsid w:val="00C109D0"/>
    <w:rsid w:val="00C754F7"/>
    <w:rsid w:val="00C8671B"/>
    <w:rsid w:val="00C93B49"/>
    <w:rsid w:val="00CE14AF"/>
    <w:rsid w:val="00CF0868"/>
    <w:rsid w:val="00CF340B"/>
    <w:rsid w:val="00D24841"/>
    <w:rsid w:val="00D33E5B"/>
    <w:rsid w:val="00DB76CD"/>
    <w:rsid w:val="00DE227F"/>
    <w:rsid w:val="00DE6119"/>
    <w:rsid w:val="00E0459A"/>
    <w:rsid w:val="00E047EF"/>
    <w:rsid w:val="00E65289"/>
    <w:rsid w:val="00EC5CE1"/>
    <w:rsid w:val="00EC7DEE"/>
    <w:rsid w:val="00F6094D"/>
    <w:rsid w:val="00FB37E8"/>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AC5E"/>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23943418">
      <w:bodyDiv w:val="1"/>
      <w:marLeft w:val="0"/>
      <w:marRight w:val="0"/>
      <w:marTop w:val="0"/>
      <w:marBottom w:val="0"/>
      <w:divBdr>
        <w:top w:val="none" w:sz="0" w:space="0" w:color="auto"/>
        <w:left w:val="none" w:sz="0" w:space="0" w:color="auto"/>
        <w:bottom w:val="none" w:sz="0" w:space="0" w:color="auto"/>
        <w:right w:val="none" w:sz="0" w:space="0" w:color="auto"/>
      </w:divBdr>
    </w:div>
    <w:div w:id="55249740">
      <w:bodyDiv w:val="1"/>
      <w:marLeft w:val="0"/>
      <w:marRight w:val="0"/>
      <w:marTop w:val="0"/>
      <w:marBottom w:val="0"/>
      <w:divBdr>
        <w:top w:val="none" w:sz="0" w:space="0" w:color="auto"/>
        <w:left w:val="none" w:sz="0" w:space="0" w:color="auto"/>
        <w:bottom w:val="none" w:sz="0" w:space="0" w:color="auto"/>
        <w:right w:val="none" w:sz="0" w:space="0" w:color="auto"/>
      </w:divBdr>
    </w:div>
    <w:div w:id="76169910">
      <w:bodyDiv w:val="1"/>
      <w:marLeft w:val="0"/>
      <w:marRight w:val="0"/>
      <w:marTop w:val="0"/>
      <w:marBottom w:val="0"/>
      <w:divBdr>
        <w:top w:val="none" w:sz="0" w:space="0" w:color="auto"/>
        <w:left w:val="none" w:sz="0" w:space="0" w:color="auto"/>
        <w:bottom w:val="none" w:sz="0" w:space="0" w:color="auto"/>
        <w:right w:val="none" w:sz="0" w:space="0" w:color="auto"/>
      </w:divBdr>
    </w:div>
    <w:div w:id="123080276">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05606727">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19559157">
      <w:bodyDiv w:val="1"/>
      <w:marLeft w:val="0"/>
      <w:marRight w:val="0"/>
      <w:marTop w:val="0"/>
      <w:marBottom w:val="0"/>
      <w:divBdr>
        <w:top w:val="none" w:sz="0" w:space="0" w:color="auto"/>
        <w:left w:val="none" w:sz="0" w:space="0" w:color="auto"/>
        <w:bottom w:val="none" w:sz="0" w:space="0" w:color="auto"/>
        <w:right w:val="none" w:sz="0" w:space="0" w:color="auto"/>
      </w:divBdr>
    </w:div>
    <w:div w:id="25227723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67391404">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299111546">
      <w:bodyDiv w:val="1"/>
      <w:marLeft w:val="0"/>
      <w:marRight w:val="0"/>
      <w:marTop w:val="0"/>
      <w:marBottom w:val="0"/>
      <w:divBdr>
        <w:top w:val="none" w:sz="0" w:space="0" w:color="auto"/>
        <w:left w:val="none" w:sz="0" w:space="0" w:color="auto"/>
        <w:bottom w:val="none" w:sz="0" w:space="0" w:color="auto"/>
        <w:right w:val="none" w:sz="0" w:space="0" w:color="auto"/>
      </w:divBdr>
    </w:div>
    <w:div w:id="30751893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5520195">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442192026">
      <w:bodyDiv w:val="1"/>
      <w:marLeft w:val="0"/>
      <w:marRight w:val="0"/>
      <w:marTop w:val="0"/>
      <w:marBottom w:val="0"/>
      <w:divBdr>
        <w:top w:val="none" w:sz="0" w:space="0" w:color="auto"/>
        <w:left w:val="none" w:sz="0" w:space="0" w:color="auto"/>
        <w:bottom w:val="none" w:sz="0" w:space="0" w:color="auto"/>
        <w:right w:val="none" w:sz="0" w:space="0" w:color="auto"/>
      </w:divBdr>
    </w:div>
    <w:div w:id="454494659">
      <w:bodyDiv w:val="1"/>
      <w:marLeft w:val="0"/>
      <w:marRight w:val="0"/>
      <w:marTop w:val="0"/>
      <w:marBottom w:val="0"/>
      <w:divBdr>
        <w:top w:val="none" w:sz="0" w:space="0" w:color="auto"/>
        <w:left w:val="none" w:sz="0" w:space="0" w:color="auto"/>
        <w:bottom w:val="none" w:sz="0" w:space="0" w:color="auto"/>
        <w:right w:val="none" w:sz="0" w:space="0" w:color="auto"/>
      </w:divBdr>
    </w:div>
    <w:div w:id="460149896">
      <w:bodyDiv w:val="1"/>
      <w:marLeft w:val="0"/>
      <w:marRight w:val="0"/>
      <w:marTop w:val="0"/>
      <w:marBottom w:val="0"/>
      <w:divBdr>
        <w:top w:val="none" w:sz="0" w:space="0" w:color="auto"/>
        <w:left w:val="none" w:sz="0" w:space="0" w:color="auto"/>
        <w:bottom w:val="none" w:sz="0" w:space="0" w:color="auto"/>
        <w:right w:val="none" w:sz="0" w:space="0" w:color="auto"/>
      </w:divBdr>
    </w:div>
    <w:div w:id="486020863">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2720380">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567961063">
      <w:bodyDiv w:val="1"/>
      <w:marLeft w:val="0"/>
      <w:marRight w:val="0"/>
      <w:marTop w:val="0"/>
      <w:marBottom w:val="0"/>
      <w:divBdr>
        <w:top w:val="none" w:sz="0" w:space="0" w:color="auto"/>
        <w:left w:val="none" w:sz="0" w:space="0" w:color="auto"/>
        <w:bottom w:val="none" w:sz="0" w:space="0" w:color="auto"/>
        <w:right w:val="none" w:sz="0" w:space="0" w:color="auto"/>
      </w:divBdr>
    </w:div>
    <w:div w:id="587424245">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7226655">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52609577">
      <w:bodyDiv w:val="1"/>
      <w:marLeft w:val="0"/>
      <w:marRight w:val="0"/>
      <w:marTop w:val="0"/>
      <w:marBottom w:val="0"/>
      <w:divBdr>
        <w:top w:val="none" w:sz="0" w:space="0" w:color="auto"/>
        <w:left w:val="none" w:sz="0" w:space="0" w:color="auto"/>
        <w:bottom w:val="none" w:sz="0" w:space="0" w:color="auto"/>
        <w:right w:val="none" w:sz="0" w:space="0" w:color="auto"/>
      </w:divBdr>
    </w:div>
    <w:div w:id="656350376">
      <w:bodyDiv w:val="1"/>
      <w:marLeft w:val="0"/>
      <w:marRight w:val="0"/>
      <w:marTop w:val="0"/>
      <w:marBottom w:val="0"/>
      <w:divBdr>
        <w:top w:val="none" w:sz="0" w:space="0" w:color="auto"/>
        <w:left w:val="none" w:sz="0" w:space="0" w:color="auto"/>
        <w:bottom w:val="none" w:sz="0" w:space="0" w:color="auto"/>
        <w:right w:val="none" w:sz="0" w:space="0" w:color="auto"/>
      </w:divBdr>
    </w:div>
    <w:div w:id="657266621">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20514722">
      <w:bodyDiv w:val="1"/>
      <w:marLeft w:val="0"/>
      <w:marRight w:val="0"/>
      <w:marTop w:val="0"/>
      <w:marBottom w:val="0"/>
      <w:divBdr>
        <w:top w:val="none" w:sz="0" w:space="0" w:color="auto"/>
        <w:left w:val="none" w:sz="0" w:space="0" w:color="auto"/>
        <w:bottom w:val="none" w:sz="0" w:space="0" w:color="auto"/>
        <w:right w:val="none" w:sz="0" w:space="0" w:color="auto"/>
      </w:divBdr>
    </w:div>
    <w:div w:id="735051936">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70128112">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2600833">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1432344">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1407123">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66551173">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020089337">
      <w:bodyDiv w:val="1"/>
      <w:marLeft w:val="0"/>
      <w:marRight w:val="0"/>
      <w:marTop w:val="0"/>
      <w:marBottom w:val="0"/>
      <w:divBdr>
        <w:top w:val="none" w:sz="0" w:space="0" w:color="auto"/>
        <w:left w:val="none" w:sz="0" w:space="0" w:color="auto"/>
        <w:bottom w:val="none" w:sz="0" w:space="0" w:color="auto"/>
        <w:right w:val="none" w:sz="0" w:space="0" w:color="auto"/>
      </w:divBdr>
    </w:div>
    <w:div w:id="1065178259">
      <w:bodyDiv w:val="1"/>
      <w:marLeft w:val="0"/>
      <w:marRight w:val="0"/>
      <w:marTop w:val="0"/>
      <w:marBottom w:val="0"/>
      <w:divBdr>
        <w:top w:val="none" w:sz="0" w:space="0" w:color="auto"/>
        <w:left w:val="none" w:sz="0" w:space="0" w:color="auto"/>
        <w:bottom w:val="none" w:sz="0" w:space="0" w:color="auto"/>
        <w:right w:val="none" w:sz="0" w:space="0" w:color="auto"/>
      </w:divBdr>
    </w:div>
    <w:div w:id="1075124043">
      <w:bodyDiv w:val="1"/>
      <w:marLeft w:val="0"/>
      <w:marRight w:val="0"/>
      <w:marTop w:val="0"/>
      <w:marBottom w:val="0"/>
      <w:divBdr>
        <w:top w:val="none" w:sz="0" w:space="0" w:color="auto"/>
        <w:left w:val="none" w:sz="0" w:space="0" w:color="auto"/>
        <w:bottom w:val="none" w:sz="0" w:space="0" w:color="auto"/>
        <w:right w:val="none" w:sz="0" w:space="0" w:color="auto"/>
      </w:divBdr>
    </w:div>
    <w:div w:id="1091663799">
      <w:bodyDiv w:val="1"/>
      <w:marLeft w:val="0"/>
      <w:marRight w:val="0"/>
      <w:marTop w:val="0"/>
      <w:marBottom w:val="0"/>
      <w:divBdr>
        <w:top w:val="none" w:sz="0" w:space="0" w:color="auto"/>
        <w:left w:val="none" w:sz="0" w:space="0" w:color="auto"/>
        <w:bottom w:val="none" w:sz="0" w:space="0" w:color="auto"/>
        <w:right w:val="none" w:sz="0" w:space="0" w:color="auto"/>
      </w:divBdr>
    </w:div>
    <w:div w:id="1095318564">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172794462">
      <w:bodyDiv w:val="1"/>
      <w:marLeft w:val="0"/>
      <w:marRight w:val="0"/>
      <w:marTop w:val="0"/>
      <w:marBottom w:val="0"/>
      <w:divBdr>
        <w:top w:val="none" w:sz="0" w:space="0" w:color="auto"/>
        <w:left w:val="none" w:sz="0" w:space="0" w:color="auto"/>
        <w:bottom w:val="none" w:sz="0" w:space="0" w:color="auto"/>
        <w:right w:val="none" w:sz="0" w:space="0" w:color="auto"/>
      </w:divBdr>
    </w:div>
    <w:div w:id="1188568344">
      <w:bodyDiv w:val="1"/>
      <w:marLeft w:val="0"/>
      <w:marRight w:val="0"/>
      <w:marTop w:val="0"/>
      <w:marBottom w:val="0"/>
      <w:divBdr>
        <w:top w:val="none" w:sz="0" w:space="0" w:color="auto"/>
        <w:left w:val="none" w:sz="0" w:space="0" w:color="auto"/>
        <w:bottom w:val="none" w:sz="0" w:space="0" w:color="auto"/>
        <w:right w:val="none" w:sz="0" w:space="0" w:color="auto"/>
      </w:divBdr>
    </w:div>
    <w:div w:id="1189022151">
      <w:bodyDiv w:val="1"/>
      <w:marLeft w:val="0"/>
      <w:marRight w:val="0"/>
      <w:marTop w:val="0"/>
      <w:marBottom w:val="0"/>
      <w:divBdr>
        <w:top w:val="none" w:sz="0" w:space="0" w:color="auto"/>
        <w:left w:val="none" w:sz="0" w:space="0" w:color="auto"/>
        <w:bottom w:val="none" w:sz="0" w:space="0" w:color="auto"/>
        <w:right w:val="none" w:sz="0" w:space="0" w:color="auto"/>
      </w:divBdr>
    </w:div>
    <w:div w:id="1189180020">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64461643">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72657749">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1677396">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11484455">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2850461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39208350">
      <w:bodyDiv w:val="1"/>
      <w:marLeft w:val="0"/>
      <w:marRight w:val="0"/>
      <w:marTop w:val="0"/>
      <w:marBottom w:val="0"/>
      <w:divBdr>
        <w:top w:val="none" w:sz="0" w:space="0" w:color="auto"/>
        <w:left w:val="none" w:sz="0" w:space="0" w:color="auto"/>
        <w:bottom w:val="none" w:sz="0" w:space="0" w:color="auto"/>
        <w:right w:val="none" w:sz="0" w:space="0" w:color="auto"/>
      </w:divBdr>
    </w:div>
    <w:div w:id="1744796609">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59980950">
      <w:bodyDiv w:val="1"/>
      <w:marLeft w:val="0"/>
      <w:marRight w:val="0"/>
      <w:marTop w:val="0"/>
      <w:marBottom w:val="0"/>
      <w:divBdr>
        <w:top w:val="none" w:sz="0" w:space="0" w:color="auto"/>
        <w:left w:val="none" w:sz="0" w:space="0" w:color="auto"/>
        <w:bottom w:val="none" w:sz="0" w:space="0" w:color="auto"/>
        <w:right w:val="none" w:sz="0" w:space="0" w:color="auto"/>
      </w:divBdr>
    </w:div>
    <w:div w:id="177381456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44660143">
      <w:bodyDiv w:val="1"/>
      <w:marLeft w:val="0"/>
      <w:marRight w:val="0"/>
      <w:marTop w:val="0"/>
      <w:marBottom w:val="0"/>
      <w:divBdr>
        <w:top w:val="none" w:sz="0" w:space="0" w:color="auto"/>
        <w:left w:val="none" w:sz="0" w:space="0" w:color="auto"/>
        <w:bottom w:val="none" w:sz="0" w:space="0" w:color="auto"/>
        <w:right w:val="none" w:sz="0" w:space="0" w:color="auto"/>
      </w:divBdr>
    </w:div>
    <w:div w:id="18524470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890074537">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1971979823">
      <w:bodyDiv w:val="1"/>
      <w:marLeft w:val="0"/>
      <w:marRight w:val="0"/>
      <w:marTop w:val="0"/>
      <w:marBottom w:val="0"/>
      <w:divBdr>
        <w:top w:val="none" w:sz="0" w:space="0" w:color="auto"/>
        <w:left w:val="none" w:sz="0" w:space="0" w:color="auto"/>
        <w:bottom w:val="none" w:sz="0" w:space="0" w:color="auto"/>
        <w:right w:val="none" w:sz="0" w:space="0" w:color="auto"/>
      </w:divBdr>
    </w:div>
    <w:div w:id="2009167303">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27094075">
      <w:bodyDiv w:val="1"/>
      <w:marLeft w:val="0"/>
      <w:marRight w:val="0"/>
      <w:marTop w:val="0"/>
      <w:marBottom w:val="0"/>
      <w:divBdr>
        <w:top w:val="none" w:sz="0" w:space="0" w:color="auto"/>
        <w:left w:val="none" w:sz="0" w:space="0" w:color="auto"/>
        <w:bottom w:val="none" w:sz="0" w:space="0" w:color="auto"/>
        <w:right w:val="none" w:sz="0" w:space="0" w:color="auto"/>
      </w:divBdr>
    </w:div>
    <w:div w:id="2059279424">
      <w:bodyDiv w:val="1"/>
      <w:marLeft w:val="0"/>
      <w:marRight w:val="0"/>
      <w:marTop w:val="0"/>
      <w:marBottom w:val="0"/>
      <w:divBdr>
        <w:top w:val="none" w:sz="0" w:space="0" w:color="auto"/>
        <w:left w:val="none" w:sz="0" w:space="0" w:color="auto"/>
        <w:bottom w:val="none" w:sz="0" w:space="0" w:color="auto"/>
        <w:right w:val="none" w:sz="0" w:space="0" w:color="auto"/>
      </w:divBdr>
    </w:div>
    <w:div w:id="2085834400">
      <w:bodyDiv w:val="1"/>
      <w:marLeft w:val="0"/>
      <w:marRight w:val="0"/>
      <w:marTop w:val="0"/>
      <w:marBottom w:val="0"/>
      <w:divBdr>
        <w:top w:val="none" w:sz="0" w:space="0" w:color="auto"/>
        <w:left w:val="none" w:sz="0" w:space="0" w:color="auto"/>
        <w:bottom w:val="none" w:sz="0" w:space="0" w:color="auto"/>
        <w:right w:val="none" w:sz="0" w:space="0" w:color="auto"/>
      </w:divBdr>
    </w:div>
    <w:div w:id="2089963273">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371&amp;Mode=0" TargetMode="External"/><Relationship Id="rId13" Type="http://schemas.openxmlformats.org/officeDocument/2006/relationships/hyperlink" Target="https://www.rbi.org.in/Scripts/BS_ViewMasCirculardetails.aspx?id=12278" TargetMode="External"/><Relationship Id="rId18" Type="http://schemas.openxmlformats.org/officeDocument/2006/relationships/hyperlink" Target="https://www.rbi.org.in/Scripts/BS_ViewMasDirections.aspx?id=12158" TargetMode="External"/><Relationship Id="rId26" Type="http://schemas.openxmlformats.org/officeDocument/2006/relationships/hyperlink" Target="https://www.rbi.org.in/scripts/NotificationUser.aspx?Id=12412&amp;Mode=0" TargetMode="External"/><Relationship Id="rId3" Type="http://schemas.openxmlformats.org/officeDocument/2006/relationships/styles" Target="styles.xml"/><Relationship Id="rId21" Type="http://schemas.openxmlformats.org/officeDocument/2006/relationships/hyperlink" Target="https://www.rbi.org.in/scripts/FS_Notification.aspx?Id=12401&amp;fn=2&amp;Mode=0" TargetMode="External"/><Relationship Id="rId7" Type="http://schemas.openxmlformats.org/officeDocument/2006/relationships/hyperlink" Target="https://rbidocs.rbi.org.in/rdocs/content/pdfs/RBIOS2021_amendments05082022.pdf" TargetMode="External"/><Relationship Id="rId12" Type="http://schemas.openxmlformats.org/officeDocument/2006/relationships/hyperlink" Target="https://rbi.org.in/Scripts/BS_CircularIndexDisplay.aspx?Id=12382" TargetMode="External"/><Relationship Id="rId17" Type="http://schemas.openxmlformats.org/officeDocument/2006/relationships/hyperlink" Target="https://www.rbi.org.in/Scripts/NotificationUser.aspx?Id=12396&amp;Mode=0" TargetMode="External"/><Relationship Id="rId25" Type="http://schemas.openxmlformats.org/officeDocument/2006/relationships/hyperlink" Target="https://www.rbi.org.in/scripts/NotificationUser.aspx?Id=12412&amp;Mode=0" TargetMode="External"/><Relationship Id="rId2" Type="http://schemas.openxmlformats.org/officeDocument/2006/relationships/numbering" Target="numbering.xml"/><Relationship Id="rId16" Type="http://schemas.openxmlformats.org/officeDocument/2006/relationships/hyperlink" Target="https://www.rbi.org.in/Scripts/BS_ViewMasCirculardetails.aspx?id=12278" TargetMode="External"/><Relationship Id="rId20" Type="http://schemas.openxmlformats.org/officeDocument/2006/relationships/hyperlink" Target="https://www.rbi.org.in/scripts/FS_Notification.aspx?Id=12401&amp;fn=2&amp;Mode=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rbi.org.in/Scripts/NotificationUser.aspx?Id=12192&amp;Mode=0" TargetMode="External"/><Relationship Id="rId11" Type="http://schemas.openxmlformats.org/officeDocument/2006/relationships/hyperlink" Target="https://rbi.org.in/Scripts/BS_CircularIndexDisplay.aspx?Id=12382" TargetMode="External"/><Relationship Id="rId24" Type="http://schemas.openxmlformats.org/officeDocument/2006/relationships/hyperlink" Target="https://www.rbi.org.in/Scripts/BS_ViewMasDirections.aspx?id=10598" TargetMode="External"/><Relationship Id="rId5" Type="http://schemas.openxmlformats.org/officeDocument/2006/relationships/webSettings" Target="webSettings.xml"/><Relationship Id="rId15" Type="http://schemas.openxmlformats.org/officeDocument/2006/relationships/hyperlink" Target="https://www.rbi.org.in/scripts/NotificationUser.aspx?Id=12384&amp;Mode=0" TargetMode="External"/><Relationship Id="rId23" Type="http://schemas.openxmlformats.org/officeDocument/2006/relationships/hyperlink" Target="https://www.rbi.org.in/scripts/NotificationUser.aspx?Id=12411&amp;Mode=0" TargetMode="External"/><Relationship Id="rId28" Type="http://schemas.openxmlformats.org/officeDocument/2006/relationships/hyperlink" Target="https://m.rbi.org.in/scripts/BS_CircularIndexDisplay.aspx?Id=12425" TargetMode="External"/><Relationship Id="rId10" Type="http://schemas.openxmlformats.org/officeDocument/2006/relationships/hyperlink" Target="https://rbi.org.in/Scripts/BS_CircularIndexDisplay.aspx?Id=12382" TargetMode="External"/><Relationship Id="rId19" Type="http://schemas.openxmlformats.org/officeDocument/2006/relationships/hyperlink" Target="https://www.rbi.org.in/scripts/FS_Notification.aspx?Id=12401&amp;fn=2&amp;Mode=0" TargetMode="External"/><Relationship Id="rId4" Type="http://schemas.openxmlformats.org/officeDocument/2006/relationships/settings" Target="settings.xml"/><Relationship Id="rId9" Type="http://schemas.openxmlformats.org/officeDocument/2006/relationships/hyperlink" Target="https://www.rbi.org.in/Scripts/BS_PressReleaseDisplay.aspx?prid=54187" TargetMode="External"/><Relationship Id="rId14" Type="http://schemas.openxmlformats.org/officeDocument/2006/relationships/hyperlink" Target="https://www.rbi.org.in/Scripts/BS_ViewMasCirculardetails.aspx?id=12278" TargetMode="External"/><Relationship Id="rId22" Type="http://schemas.openxmlformats.org/officeDocument/2006/relationships/hyperlink" Target="https://www.rbi.org.in/Scripts/NotificationUser.aspx?Id=12302&amp;Mode=0" TargetMode="External"/><Relationship Id="rId27" Type="http://schemas.openxmlformats.org/officeDocument/2006/relationships/hyperlink" Target="https://m.rbi.org.in/Scripts/NotificationUser.aspx?Id=8968&amp;Mode=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9E8D-A049-4007-9BA5-5180953E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soumya P</cp:lastModifiedBy>
  <cp:revision>2</cp:revision>
  <dcterms:created xsi:type="dcterms:W3CDTF">2023-03-01T05:34:00Z</dcterms:created>
  <dcterms:modified xsi:type="dcterms:W3CDTF">2023-03-01T05:34:00Z</dcterms:modified>
</cp:coreProperties>
</file>